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F93F" w14:textId="3DD02799" w:rsidR="00FD5600" w:rsidRPr="00D65220" w:rsidRDefault="002F00ED" w:rsidP="00D65220">
      <w:pPr>
        <w:pStyle w:val="Titre1"/>
        <w:rPr>
          <w:sz w:val="28"/>
          <w:szCs w:val="28"/>
        </w:rPr>
      </w:pPr>
      <w:r w:rsidRPr="00D65220">
        <w:rPr>
          <w:sz w:val="28"/>
          <w:szCs w:val="28"/>
        </w:rPr>
        <w:t xml:space="preserve">Présentation fiche 5 : </w:t>
      </w:r>
      <w:r w:rsidR="000C6140" w:rsidRPr="00D65220">
        <w:rPr>
          <w:sz w:val="28"/>
          <w:szCs w:val="28"/>
        </w:rPr>
        <w:t xml:space="preserve">Entreposage et préservation </w:t>
      </w:r>
      <w:r w:rsidRPr="00D65220">
        <w:rPr>
          <w:sz w:val="28"/>
          <w:szCs w:val="28"/>
        </w:rPr>
        <w:t xml:space="preserve">de l’information </w:t>
      </w:r>
    </w:p>
    <w:p w14:paraId="3DA39BCA" w14:textId="461E1796" w:rsidR="002F5BB6" w:rsidRDefault="00CE3646" w:rsidP="00204617">
      <w:pPr>
        <w:spacing w:line="240" w:lineRule="auto"/>
        <w:jc w:val="both"/>
        <w:rPr>
          <w:rFonts w:ascii="Calibri" w:hAnsi="Calibri" w:cs="Calibri"/>
        </w:rPr>
      </w:pPr>
      <w:r w:rsidRPr="002F5BB6">
        <w:rPr>
          <w:rFonts w:ascii="Calibri" w:hAnsi="Calibri" w:cs="Calibri"/>
        </w:rPr>
        <w:t xml:space="preserve">Cette cinquième fiche du projet de fiches sur les bonnes pratiques GI dans M365 traite de la </w:t>
      </w:r>
      <w:r w:rsidR="00910EB6">
        <w:rPr>
          <w:rFonts w:ascii="Calibri" w:hAnsi="Calibri" w:cs="Calibri"/>
        </w:rPr>
        <w:t>préservation</w:t>
      </w:r>
      <w:r w:rsidRPr="002F5BB6">
        <w:rPr>
          <w:rFonts w:ascii="Calibri" w:hAnsi="Calibri" w:cs="Calibri"/>
        </w:rPr>
        <w:t xml:space="preserve"> et de l’entreposage de l’information. </w:t>
      </w:r>
      <w:r w:rsidR="002F5BB6" w:rsidRPr="002F5BB6">
        <w:rPr>
          <w:rFonts w:ascii="Calibri" w:hAnsi="Calibri" w:cs="Calibri"/>
        </w:rPr>
        <w:t xml:space="preserve">Puisque la </w:t>
      </w:r>
      <w:r w:rsidR="00910EB6">
        <w:rPr>
          <w:rFonts w:ascii="Calibri" w:hAnsi="Calibri" w:cs="Calibri"/>
        </w:rPr>
        <w:t>préservation</w:t>
      </w:r>
      <w:r w:rsidR="002F5BB6" w:rsidRPr="002F5BB6">
        <w:rPr>
          <w:rFonts w:ascii="Calibri" w:hAnsi="Calibri" w:cs="Calibri"/>
        </w:rPr>
        <w:t xml:space="preserve"> et l’entreposage de l’information nécessitent d’être considérés dès la conception de la solution, des éléments abordés dans ce volet ont été intégrés dans la</w:t>
      </w:r>
      <w:r w:rsidR="00872CC7">
        <w:rPr>
          <w:rFonts w:ascii="Calibri" w:hAnsi="Calibri" w:cs="Calibri"/>
        </w:rPr>
        <w:t xml:space="preserve"> fiche sur la</w:t>
      </w:r>
      <w:r w:rsidR="002F5BB6" w:rsidRPr="002F5BB6">
        <w:rPr>
          <w:rFonts w:ascii="Calibri" w:hAnsi="Calibri" w:cs="Calibri"/>
        </w:rPr>
        <w:t xml:space="preserve"> gouvernance. </w:t>
      </w:r>
      <w:r w:rsidR="00942B41" w:rsidRPr="00910EB6">
        <w:rPr>
          <w:rFonts w:ascii="Calibri" w:hAnsi="Calibri" w:cs="Calibri"/>
        </w:rPr>
        <w:t>La problématique de dépôt numérique fiable n’a pas été étudiée pleinement à ce moment-ci et n’apparait donc pas comme tel dans la fiche.</w:t>
      </w:r>
      <w:r w:rsidR="00942B41">
        <w:rPr>
          <w:rFonts w:ascii="Calibri" w:hAnsi="Calibri" w:cs="Calibri"/>
        </w:rPr>
        <w:t xml:space="preserve"> </w:t>
      </w:r>
      <w:r w:rsidR="00910EB6" w:rsidRPr="00910EB6">
        <w:rPr>
          <w:rFonts w:ascii="Calibri" w:hAnsi="Calibri" w:cs="Calibri"/>
        </w:rPr>
        <w:t>Le fait que</w:t>
      </w:r>
      <w:r w:rsidR="00776544" w:rsidRPr="00910EB6">
        <w:rPr>
          <w:rFonts w:ascii="Calibri" w:hAnsi="Calibri" w:cs="Calibri"/>
        </w:rPr>
        <w:t xml:space="preserve"> tout système peut être d’usage temporaire</w:t>
      </w:r>
      <w:r w:rsidR="00910EB6" w:rsidRPr="00910EB6">
        <w:rPr>
          <w:rFonts w:ascii="Calibri" w:hAnsi="Calibri" w:cs="Calibri"/>
        </w:rPr>
        <w:t xml:space="preserve"> a également été considéré.</w:t>
      </w:r>
    </w:p>
    <w:p w14:paraId="20E2D9FF" w14:textId="7BD9BD26" w:rsidR="00204617" w:rsidRPr="00910EB6" w:rsidRDefault="00204617" w:rsidP="00204617">
      <w:pPr>
        <w:spacing w:line="240" w:lineRule="auto"/>
        <w:jc w:val="both"/>
        <w:rPr>
          <w:rFonts w:ascii="Calibri" w:hAnsi="Calibri" w:cs="Calibri"/>
        </w:rPr>
      </w:pPr>
      <w:r w:rsidRPr="005711EB">
        <w:rPr>
          <w:rFonts w:ascii="Calibri" w:hAnsi="Calibri" w:cs="Calibri"/>
          <w:u w:val="single"/>
        </w:rPr>
        <w:t>Note </w:t>
      </w:r>
      <w:r>
        <w:rPr>
          <w:rFonts w:ascii="Calibri" w:hAnsi="Calibri" w:cs="Calibri"/>
        </w:rPr>
        <w:t xml:space="preserve">: L’intitulé de la fiche a été modifié. </w:t>
      </w:r>
      <w:r>
        <w:rPr>
          <w:rFonts w:ascii="Calibri" w:hAnsi="Calibri" w:cs="Calibri"/>
        </w:rPr>
        <w:t xml:space="preserve">Le terme « préservation » a </w:t>
      </w:r>
      <w:r w:rsidR="005711EB">
        <w:rPr>
          <w:rFonts w:ascii="Calibri" w:hAnsi="Calibri" w:cs="Calibri"/>
        </w:rPr>
        <w:t>remplacé</w:t>
      </w:r>
      <w:r>
        <w:rPr>
          <w:rFonts w:ascii="Calibri" w:hAnsi="Calibri" w:cs="Calibri"/>
        </w:rPr>
        <w:t xml:space="preserve"> </w:t>
      </w:r>
      <w:r w:rsidRPr="009142F4">
        <w:rPr>
          <w:rFonts w:ascii="Calibri" w:hAnsi="Calibri" w:cs="Calibri"/>
        </w:rPr>
        <w:t xml:space="preserve">« conservation » </w:t>
      </w:r>
      <w:r w:rsidR="001051AE" w:rsidRPr="00080CCE">
        <w:rPr>
          <w:rFonts w:ascii="Calibri" w:hAnsi="Calibri" w:cs="Calibri"/>
        </w:rPr>
        <w:t>parce qu</w:t>
      </w:r>
      <w:r w:rsidR="001051AE">
        <w:rPr>
          <w:rFonts w:ascii="Calibri" w:hAnsi="Calibri" w:cs="Calibri"/>
        </w:rPr>
        <w:t>e l</w:t>
      </w:r>
      <w:r w:rsidR="001051AE" w:rsidRPr="00080CCE">
        <w:rPr>
          <w:rFonts w:ascii="Calibri" w:hAnsi="Calibri" w:cs="Calibri"/>
        </w:rPr>
        <w:t xml:space="preserve">’intervention </w:t>
      </w:r>
      <w:r w:rsidR="004F4B94">
        <w:rPr>
          <w:rFonts w:ascii="Calibri" w:hAnsi="Calibri" w:cs="Calibri"/>
        </w:rPr>
        <w:t xml:space="preserve">se fait en </w:t>
      </w:r>
      <w:r w:rsidR="001051AE" w:rsidRPr="00080CCE">
        <w:rPr>
          <w:rFonts w:ascii="Calibri" w:hAnsi="Calibri" w:cs="Calibri"/>
        </w:rPr>
        <w:t>continu pour pérenniser</w:t>
      </w:r>
      <w:r w:rsidR="004F4B94">
        <w:rPr>
          <w:rFonts w:ascii="Calibri" w:hAnsi="Calibri" w:cs="Calibri"/>
        </w:rPr>
        <w:t xml:space="preserve"> l’information, </w:t>
      </w:r>
      <w:r w:rsidR="001051AE" w:rsidRPr="00080CCE">
        <w:rPr>
          <w:rFonts w:ascii="Calibri" w:hAnsi="Calibri" w:cs="Calibri"/>
        </w:rPr>
        <w:t xml:space="preserve">maintenir </w:t>
      </w:r>
      <w:r w:rsidR="001051AE">
        <w:rPr>
          <w:rFonts w:ascii="Calibri" w:hAnsi="Calibri" w:cs="Calibri"/>
        </w:rPr>
        <w:t>l’</w:t>
      </w:r>
      <w:r w:rsidR="001051AE" w:rsidRPr="00080CCE">
        <w:rPr>
          <w:rFonts w:ascii="Calibri" w:hAnsi="Calibri" w:cs="Calibri"/>
        </w:rPr>
        <w:t xml:space="preserve">accès et </w:t>
      </w:r>
      <w:r w:rsidR="001051AE">
        <w:rPr>
          <w:rFonts w:ascii="Calibri" w:hAnsi="Calibri" w:cs="Calibri"/>
        </w:rPr>
        <w:t xml:space="preserve">les </w:t>
      </w:r>
      <w:r w:rsidR="001051AE" w:rsidRPr="00080CCE">
        <w:rPr>
          <w:rFonts w:ascii="Calibri" w:hAnsi="Calibri" w:cs="Calibri"/>
        </w:rPr>
        <w:t>utilisations dans le temps.</w:t>
      </w:r>
      <w:r w:rsidR="004F4B94">
        <w:rPr>
          <w:rFonts w:ascii="Calibri" w:hAnsi="Calibri" w:cs="Calibri"/>
        </w:rPr>
        <w:t xml:space="preserve"> </w:t>
      </w:r>
      <w:r w:rsidRPr="00080CCE">
        <w:rPr>
          <w:rFonts w:ascii="Calibri" w:hAnsi="Calibri" w:cs="Calibri"/>
        </w:rPr>
        <w:t>Également</w:t>
      </w:r>
      <w:r w:rsidR="005711EB">
        <w:rPr>
          <w:rFonts w:ascii="Calibri" w:hAnsi="Calibri" w:cs="Calibri"/>
        </w:rPr>
        <w:t>,</w:t>
      </w:r>
      <w:r w:rsidRPr="00080CCE">
        <w:rPr>
          <w:rFonts w:ascii="Calibri" w:hAnsi="Calibri" w:cs="Calibri"/>
        </w:rPr>
        <w:t xml:space="preserve"> </w:t>
      </w:r>
      <w:r w:rsidR="00032329">
        <w:rPr>
          <w:rFonts w:ascii="Calibri" w:hAnsi="Calibri" w:cs="Calibri"/>
        </w:rPr>
        <w:t>la préservation se veut une approche intégrée, et est privilégiée en gestion de l’information numérique.</w:t>
      </w:r>
      <w:r w:rsidR="005B468B">
        <w:rPr>
          <w:rFonts w:ascii="Calibri" w:hAnsi="Calibri" w:cs="Calibri"/>
        </w:rPr>
        <w:t xml:space="preserve"> </w:t>
      </w:r>
    </w:p>
    <w:p w14:paraId="6D7D39B4" w14:textId="77777777" w:rsidR="002F5BB6" w:rsidRDefault="00C31645" w:rsidP="002F5BB6">
      <w:pPr>
        <w:spacing w:line="240" w:lineRule="auto"/>
        <w:jc w:val="both"/>
        <w:rPr>
          <w:rFonts w:ascii="Calibri" w:hAnsi="Calibri" w:cs="Calibri"/>
        </w:rPr>
      </w:pPr>
      <w:r w:rsidRPr="002F5BB6">
        <w:rPr>
          <w:rFonts w:ascii="Calibri" w:hAnsi="Calibri" w:cs="Calibri"/>
          <w:b/>
          <w:bCs/>
        </w:rPr>
        <w:t>Onglet</w:t>
      </w:r>
      <w:r w:rsidR="002F5BB6" w:rsidRPr="002F5BB6">
        <w:rPr>
          <w:rFonts w:ascii="Calibri" w:hAnsi="Calibri" w:cs="Calibri"/>
          <w:b/>
          <w:bCs/>
        </w:rPr>
        <w:t xml:space="preserve"> </w:t>
      </w:r>
      <w:r w:rsidRPr="002F5BB6">
        <w:rPr>
          <w:rFonts w:ascii="Calibri" w:hAnsi="Calibri" w:cs="Calibri"/>
          <w:b/>
          <w:bCs/>
        </w:rPr>
        <w:t>Gestionnaire d’info</w:t>
      </w:r>
      <w:r w:rsidRPr="002F5BB6">
        <w:rPr>
          <w:rFonts w:ascii="Calibri" w:hAnsi="Calibri" w:cs="Calibri"/>
        </w:rPr>
        <w:t xml:space="preserve">  </w:t>
      </w:r>
    </w:p>
    <w:p w14:paraId="064973A5" w14:textId="677D2C3D" w:rsidR="000A4ACF" w:rsidRPr="00665DEA" w:rsidRDefault="003A37F9" w:rsidP="002F5BB6">
      <w:pPr>
        <w:spacing w:line="24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Le premier</w:t>
      </w:r>
      <w:r w:rsidR="000A4ACF" w:rsidRPr="002F5BB6">
        <w:rPr>
          <w:rFonts w:ascii="Calibri" w:hAnsi="Calibri" w:cs="Calibri"/>
        </w:rPr>
        <w:t xml:space="preserve"> </w:t>
      </w:r>
      <w:r w:rsidR="00AA6971">
        <w:rPr>
          <w:rFonts w:ascii="Calibri" w:hAnsi="Calibri" w:cs="Calibri"/>
        </w:rPr>
        <w:t>bloc d’information</w:t>
      </w:r>
      <w:r w:rsidR="000A4ACF" w:rsidRPr="002F5BB6">
        <w:rPr>
          <w:rFonts w:ascii="Calibri" w:hAnsi="Calibri" w:cs="Calibri"/>
        </w:rPr>
        <w:t xml:space="preserve"> </w:t>
      </w:r>
      <w:r w:rsidR="000A4ACF" w:rsidRPr="00910EB6">
        <w:rPr>
          <w:rFonts w:ascii="Calibri" w:hAnsi="Calibri" w:cs="Calibri"/>
        </w:rPr>
        <w:t>identifie</w:t>
      </w:r>
      <w:r w:rsidRPr="00910EB6">
        <w:rPr>
          <w:rFonts w:ascii="Calibri" w:hAnsi="Calibri" w:cs="Calibri"/>
        </w:rPr>
        <w:t xml:space="preserve"> </w:t>
      </w:r>
      <w:r w:rsidR="00E86679" w:rsidRPr="00910EB6">
        <w:rPr>
          <w:rFonts w:ascii="Calibri" w:hAnsi="Calibri" w:cs="Calibri"/>
        </w:rPr>
        <w:t xml:space="preserve">les questions auxquelles le gestionnaire de l’information doit répondre </w:t>
      </w:r>
      <w:r w:rsidR="000A4ACF" w:rsidRPr="00910EB6">
        <w:rPr>
          <w:rFonts w:ascii="Calibri" w:hAnsi="Calibri" w:cs="Calibri"/>
        </w:rPr>
        <w:t xml:space="preserve">pour </w:t>
      </w:r>
      <w:r w:rsidR="00E86679" w:rsidRPr="00910EB6">
        <w:rPr>
          <w:rFonts w:ascii="Calibri" w:hAnsi="Calibri" w:cs="Calibri"/>
        </w:rPr>
        <w:t>identifier le meilleur modèle d’entreposage et de conservation de l’information.</w:t>
      </w:r>
      <w:r w:rsidR="00E86679" w:rsidRPr="002F5BB6">
        <w:rPr>
          <w:rFonts w:ascii="Calibri" w:hAnsi="Calibri" w:cs="Calibri"/>
        </w:rPr>
        <w:t xml:space="preserve"> Les réponses aux questions constituent l’information </w:t>
      </w:r>
      <w:r w:rsidR="00BD5A7F">
        <w:rPr>
          <w:rFonts w:ascii="Calibri" w:hAnsi="Calibri" w:cs="Calibri"/>
        </w:rPr>
        <w:t>requise</w:t>
      </w:r>
      <w:r w:rsidR="00E86679" w:rsidRPr="002F5BB6">
        <w:rPr>
          <w:rFonts w:ascii="Calibri" w:hAnsi="Calibri" w:cs="Calibri"/>
        </w:rPr>
        <w:t xml:space="preserve"> pour le faire.</w:t>
      </w:r>
      <w:r w:rsidR="00910EB6">
        <w:rPr>
          <w:rFonts w:ascii="Calibri" w:hAnsi="Calibri" w:cs="Calibri"/>
        </w:rPr>
        <w:t xml:space="preserve"> </w:t>
      </w:r>
    </w:p>
    <w:p w14:paraId="307C87F5" w14:textId="42522BD1" w:rsidR="00AA6971" w:rsidRDefault="003A37F9" w:rsidP="002F5BB6">
      <w:pPr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</w:t>
      </w:r>
      <w:r w:rsidR="00943CD5" w:rsidRPr="00080CCE">
        <w:rPr>
          <w:rFonts w:ascii="Calibri" w:hAnsi="Calibri" w:cs="Calibri"/>
        </w:rPr>
        <w:t>second</w:t>
      </w:r>
      <w:r w:rsidRPr="00080CCE">
        <w:rPr>
          <w:rFonts w:ascii="Calibri" w:hAnsi="Calibri" w:cs="Calibri"/>
        </w:rPr>
        <w:t xml:space="preserve"> </w:t>
      </w:r>
      <w:r w:rsidR="00AA6971" w:rsidRPr="00080CCE">
        <w:rPr>
          <w:rFonts w:ascii="Calibri" w:hAnsi="Calibri" w:cs="Calibri"/>
        </w:rPr>
        <w:t>bloc</w:t>
      </w:r>
      <w:r w:rsidR="00CF3F14" w:rsidRPr="00080CCE">
        <w:rPr>
          <w:rFonts w:ascii="Calibri" w:hAnsi="Calibri" w:cs="Calibri"/>
        </w:rPr>
        <w:t xml:space="preserve"> </w:t>
      </w:r>
      <w:r w:rsidR="00610B7C" w:rsidRPr="00080CCE">
        <w:rPr>
          <w:rFonts w:ascii="Calibri" w:hAnsi="Calibri" w:cs="Calibri"/>
        </w:rPr>
        <w:t>énonce</w:t>
      </w:r>
      <w:r w:rsidR="00CF3F14" w:rsidRPr="00080CCE">
        <w:rPr>
          <w:rFonts w:ascii="Calibri" w:hAnsi="Calibri" w:cs="Calibri"/>
        </w:rPr>
        <w:t xml:space="preserve"> les </w:t>
      </w:r>
      <w:r w:rsidR="00C569A2" w:rsidRPr="00080CCE">
        <w:rPr>
          <w:rFonts w:ascii="Calibri" w:hAnsi="Calibri" w:cs="Calibri"/>
        </w:rPr>
        <w:t xml:space="preserve">principaux </w:t>
      </w:r>
      <w:r w:rsidR="00CF3F14" w:rsidRPr="00080CCE">
        <w:rPr>
          <w:rFonts w:ascii="Calibri" w:hAnsi="Calibri" w:cs="Calibri"/>
        </w:rPr>
        <w:t xml:space="preserve">besoins </w:t>
      </w:r>
      <w:r w:rsidR="001D68E7" w:rsidRPr="00080CCE">
        <w:rPr>
          <w:rFonts w:ascii="Calibri" w:hAnsi="Calibri" w:cs="Calibri"/>
        </w:rPr>
        <w:t xml:space="preserve">à combler </w:t>
      </w:r>
      <w:r w:rsidR="00A6175D" w:rsidRPr="00080CCE">
        <w:rPr>
          <w:rFonts w:ascii="Calibri" w:hAnsi="Calibri" w:cs="Calibri"/>
        </w:rPr>
        <w:t>pour définir un modèle</w:t>
      </w:r>
      <w:r w:rsidR="00A6175D">
        <w:rPr>
          <w:rFonts w:ascii="Calibri" w:hAnsi="Calibri" w:cs="Calibri"/>
        </w:rPr>
        <w:t xml:space="preserve"> </w:t>
      </w:r>
      <w:r w:rsidR="00080CCE">
        <w:rPr>
          <w:rFonts w:ascii="Calibri" w:hAnsi="Calibri" w:cs="Calibri"/>
        </w:rPr>
        <w:t>de</w:t>
      </w:r>
      <w:r w:rsidR="00CC3B7B">
        <w:rPr>
          <w:rFonts w:ascii="Calibri" w:hAnsi="Calibri" w:cs="Calibri"/>
        </w:rPr>
        <w:t xml:space="preserve"> </w:t>
      </w:r>
      <w:r w:rsidR="00080CCE">
        <w:rPr>
          <w:rFonts w:ascii="Calibri" w:hAnsi="Calibri" w:cs="Calibri"/>
        </w:rPr>
        <w:t>préservation</w:t>
      </w:r>
      <w:r w:rsidR="00CC3B7B">
        <w:rPr>
          <w:rFonts w:ascii="Calibri" w:hAnsi="Calibri" w:cs="Calibri"/>
        </w:rPr>
        <w:t xml:space="preserve"> et </w:t>
      </w:r>
      <w:r w:rsidR="00080CCE">
        <w:rPr>
          <w:rFonts w:ascii="Calibri" w:hAnsi="Calibri" w:cs="Calibri"/>
        </w:rPr>
        <w:t>d</w:t>
      </w:r>
      <w:r w:rsidR="00CC3B7B">
        <w:rPr>
          <w:rFonts w:ascii="Calibri" w:hAnsi="Calibri" w:cs="Calibri"/>
        </w:rPr>
        <w:t>’entreposage. C</w:t>
      </w:r>
      <w:r w:rsidR="00AC730E">
        <w:rPr>
          <w:rFonts w:ascii="Calibri" w:hAnsi="Calibri" w:cs="Calibri"/>
        </w:rPr>
        <w:t xml:space="preserve">es besoins concernent </w:t>
      </w:r>
      <w:r w:rsidR="00E355D2">
        <w:rPr>
          <w:rFonts w:ascii="Calibri" w:hAnsi="Calibri" w:cs="Calibri"/>
        </w:rPr>
        <w:t>la définition</w:t>
      </w:r>
      <w:r w:rsidR="000B5E5A">
        <w:rPr>
          <w:rFonts w:ascii="Calibri" w:hAnsi="Calibri" w:cs="Calibri"/>
        </w:rPr>
        <w:t xml:space="preserve"> du</w:t>
      </w:r>
      <w:r w:rsidR="00AC730E">
        <w:rPr>
          <w:rFonts w:ascii="Calibri" w:hAnsi="Calibri" w:cs="Calibri"/>
        </w:rPr>
        <w:t xml:space="preserve"> rôle des différents espaces </w:t>
      </w:r>
      <w:r w:rsidR="00526E87">
        <w:rPr>
          <w:rFonts w:ascii="Calibri" w:hAnsi="Calibri" w:cs="Calibri"/>
        </w:rPr>
        <w:t>d’enregistrement des fichiers</w:t>
      </w:r>
      <w:r w:rsidR="00170F29">
        <w:rPr>
          <w:rFonts w:ascii="Calibri" w:hAnsi="Calibri" w:cs="Calibri"/>
        </w:rPr>
        <w:t>.</w:t>
      </w:r>
      <w:r w:rsidR="00170F29" w:rsidRPr="00170F29">
        <w:rPr>
          <w:rFonts w:ascii="Calibri" w:hAnsi="Calibri" w:cs="Calibri"/>
        </w:rPr>
        <w:t xml:space="preserve"> </w:t>
      </w:r>
      <w:r w:rsidR="00170F29">
        <w:rPr>
          <w:rFonts w:ascii="Calibri" w:hAnsi="Calibri" w:cs="Calibri"/>
        </w:rPr>
        <w:t>Le plan de gestion de stockage concerne entre autres l’espace disponible/alloué pour les fichiers, et la durée de conservation associée.</w:t>
      </w:r>
      <w:r w:rsidR="00247D4C">
        <w:rPr>
          <w:rFonts w:ascii="Calibri" w:hAnsi="Calibri" w:cs="Calibri"/>
        </w:rPr>
        <w:t xml:space="preserve"> </w:t>
      </w:r>
    </w:p>
    <w:p w14:paraId="44F1ACB8" w14:textId="31E135C1" w:rsidR="00DF3970" w:rsidRPr="00B97E89" w:rsidRDefault="00AA6971" w:rsidP="002F5BB6">
      <w:pPr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080CCE">
        <w:rPr>
          <w:rFonts w:ascii="Calibri" w:hAnsi="Calibri" w:cs="Calibri"/>
        </w:rPr>
        <w:t xml:space="preserve">e troisième et dernier bloc identifie </w:t>
      </w:r>
      <w:r w:rsidR="00526E87" w:rsidRPr="00080CCE">
        <w:rPr>
          <w:rFonts w:ascii="Calibri" w:hAnsi="Calibri" w:cs="Calibri"/>
        </w:rPr>
        <w:t xml:space="preserve">les outils </w:t>
      </w:r>
      <w:r w:rsidR="00B9027F" w:rsidRPr="00080CCE">
        <w:rPr>
          <w:rFonts w:ascii="Calibri" w:hAnsi="Calibri" w:cs="Calibri"/>
        </w:rPr>
        <w:t xml:space="preserve">qui </w:t>
      </w:r>
      <w:r w:rsidR="00604B2D" w:rsidRPr="00080CCE">
        <w:rPr>
          <w:rFonts w:ascii="Calibri" w:hAnsi="Calibri" w:cs="Calibri"/>
        </w:rPr>
        <w:t xml:space="preserve">soutiennent et </w:t>
      </w:r>
      <w:r w:rsidR="00FC206A" w:rsidRPr="00080CCE">
        <w:rPr>
          <w:rFonts w:ascii="Calibri" w:hAnsi="Calibri" w:cs="Calibri"/>
        </w:rPr>
        <w:t>simplifient</w:t>
      </w:r>
      <w:r w:rsidR="00B9027F" w:rsidRPr="00080CCE">
        <w:rPr>
          <w:rFonts w:ascii="Calibri" w:hAnsi="Calibri" w:cs="Calibri"/>
        </w:rPr>
        <w:t xml:space="preserve"> </w:t>
      </w:r>
      <w:r w:rsidR="00642932" w:rsidRPr="00080CCE">
        <w:rPr>
          <w:rFonts w:ascii="Calibri" w:hAnsi="Calibri" w:cs="Calibri"/>
        </w:rPr>
        <w:t>les interventions</w:t>
      </w:r>
      <w:r w:rsidR="00642932">
        <w:rPr>
          <w:rFonts w:ascii="Calibri" w:hAnsi="Calibri" w:cs="Calibri"/>
        </w:rPr>
        <w:t xml:space="preserve"> de gestion du cycle de vie de l’information</w:t>
      </w:r>
      <w:r w:rsidR="00604B2D">
        <w:rPr>
          <w:rFonts w:ascii="Calibri" w:hAnsi="Calibri" w:cs="Calibri"/>
        </w:rPr>
        <w:t xml:space="preserve">. Les connecteurs créent des ponts entre les </w:t>
      </w:r>
      <w:r w:rsidR="00F154EE">
        <w:rPr>
          <w:rFonts w:ascii="Calibri" w:hAnsi="Calibri" w:cs="Calibri"/>
        </w:rPr>
        <w:t>systèmes et applications</w:t>
      </w:r>
      <w:r w:rsidR="00AD07F7">
        <w:rPr>
          <w:rFonts w:ascii="Calibri" w:hAnsi="Calibri" w:cs="Calibri"/>
        </w:rPr>
        <w:t xml:space="preserve">, permettant </w:t>
      </w:r>
      <w:r w:rsidR="00975765">
        <w:rPr>
          <w:rFonts w:ascii="Calibri" w:hAnsi="Calibri" w:cs="Calibri"/>
        </w:rPr>
        <w:t>la migration</w:t>
      </w:r>
      <w:r w:rsidR="00AD07F7">
        <w:rPr>
          <w:rFonts w:ascii="Calibri" w:hAnsi="Calibri" w:cs="Calibri"/>
        </w:rPr>
        <w:t xml:space="preserve"> </w:t>
      </w:r>
      <w:r w:rsidR="00975765">
        <w:rPr>
          <w:rFonts w:ascii="Calibri" w:hAnsi="Calibri" w:cs="Calibri"/>
        </w:rPr>
        <w:t>d</w:t>
      </w:r>
      <w:r w:rsidR="00AD07F7">
        <w:rPr>
          <w:rFonts w:ascii="Calibri" w:hAnsi="Calibri" w:cs="Calibri"/>
        </w:rPr>
        <w:t>es fichiers</w:t>
      </w:r>
      <w:r w:rsidR="00F154EE">
        <w:rPr>
          <w:rFonts w:ascii="Calibri" w:hAnsi="Calibri" w:cs="Calibri"/>
        </w:rPr>
        <w:t>. Les autorisations et droits son</w:t>
      </w:r>
      <w:r w:rsidR="008427B1">
        <w:rPr>
          <w:rFonts w:ascii="Calibri" w:hAnsi="Calibri" w:cs="Calibri"/>
        </w:rPr>
        <w:t>t nécessaires pour les différents aspects énumérés dans cette colonne. Les outils nommés dans la colonne Gestion</w:t>
      </w:r>
      <w:r w:rsidR="00216BA7">
        <w:rPr>
          <w:rFonts w:ascii="Calibri" w:hAnsi="Calibri" w:cs="Calibri"/>
        </w:rPr>
        <w:t xml:space="preserve"> </w:t>
      </w:r>
      <w:r w:rsidR="004A2843">
        <w:rPr>
          <w:rFonts w:ascii="Calibri" w:hAnsi="Calibri" w:cs="Calibri"/>
        </w:rPr>
        <w:t xml:space="preserve">permettent de gérer les fichiers plus particulièrement. </w:t>
      </w:r>
      <w:r w:rsidR="00F32B10" w:rsidRPr="002C53B5">
        <w:rPr>
          <w:rFonts w:ascii="Calibri" w:hAnsi="Calibri" w:cs="Calibri"/>
        </w:rPr>
        <w:t>A considéré le fait qu’il y a du court – moyen – long terme de préservation selon le contexte</w:t>
      </w:r>
      <w:r w:rsidR="002C53B5">
        <w:rPr>
          <w:rFonts w:ascii="Calibri" w:hAnsi="Calibri" w:cs="Calibri"/>
        </w:rPr>
        <w:t>.</w:t>
      </w:r>
      <w:r w:rsidR="00DF3970" w:rsidRPr="002C53B5">
        <w:rPr>
          <w:rFonts w:ascii="Calibri" w:hAnsi="Calibri" w:cs="Calibri"/>
        </w:rPr>
        <w:t xml:space="preserve"> </w:t>
      </w:r>
      <w:r w:rsidR="00B97E89">
        <w:rPr>
          <w:rFonts w:ascii="Calibri" w:hAnsi="Calibri" w:cs="Calibri"/>
        </w:rPr>
        <w:t xml:space="preserve">Également, </w:t>
      </w:r>
      <w:r w:rsidR="00DF3970" w:rsidRPr="00B97E89">
        <w:rPr>
          <w:rFonts w:ascii="Calibri" w:hAnsi="Calibri" w:cs="Calibri"/>
        </w:rPr>
        <w:t xml:space="preserve">dans certains cas </w:t>
      </w:r>
      <w:r w:rsidR="00B97E89">
        <w:rPr>
          <w:rFonts w:ascii="Calibri" w:hAnsi="Calibri" w:cs="Calibri"/>
        </w:rPr>
        <w:t>il s’agit d’</w:t>
      </w:r>
      <w:r w:rsidR="00DF3970" w:rsidRPr="00B97E89">
        <w:rPr>
          <w:rFonts w:ascii="Calibri" w:hAnsi="Calibri" w:cs="Calibri"/>
        </w:rPr>
        <w:t xml:space="preserve">un déplacement d’espace </w:t>
      </w:r>
      <w:r w:rsidR="00B97E89">
        <w:rPr>
          <w:rFonts w:ascii="Calibri" w:hAnsi="Calibri" w:cs="Calibri"/>
        </w:rPr>
        <w:t xml:space="preserve">situé </w:t>
      </w:r>
      <w:r w:rsidR="00DF3970" w:rsidRPr="00B97E89">
        <w:rPr>
          <w:rFonts w:ascii="Calibri" w:hAnsi="Calibri" w:cs="Calibri"/>
        </w:rPr>
        <w:t xml:space="preserve">dans un même système, dans d’autres cas, </w:t>
      </w:r>
      <w:r w:rsidR="00B97E89">
        <w:rPr>
          <w:rFonts w:ascii="Calibri" w:hAnsi="Calibri" w:cs="Calibri"/>
        </w:rPr>
        <w:t>le</w:t>
      </w:r>
      <w:r w:rsidR="00DF3970" w:rsidRPr="00B97E89">
        <w:rPr>
          <w:rFonts w:ascii="Calibri" w:hAnsi="Calibri" w:cs="Calibri"/>
        </w:rPr>
        <w:t xml:space="preserve"> transfert </w:t>
      </w:r>
      <w:r w:rsidR="00B97E89">
        <w:rPr>
          <w:rFonts w:ascii="Calibri" w:hAnsi="Calibri" w:cs="Calibri"/>
        </w:rPr>
        <w:t>constitue plutôt une</w:t>
      </w:r>
      <w:r w:rsidR="00DF3970" w:rsidRPr="00B97E89">
        <w:rPr>
          <w:rFonts w:ascii="Calibri" w:hAnsi="Calibri" w:cs="Calibri"/>
        </w:rPr>
        <w:t xml:space="preserve"> migration vers d’autres systèmes.</w:t>
      </w:r>
    </w:p>
    <w:p w14:paraId="302807F7" w14:textId="27646076" w:rsidR="00EB1F7A" w:rsidRPr="004B374D" w:rsidRDefault="004B374D" w:rsidP="002F5BB6">
      <w:pPr>
        <w:spacing w:before="120" w:after="120" w:line="240" w:lineRule="auto"/>
        <w:jc w:val="both"/>
        <w:rPr>
          <w:rFonts w:ascii="Calibri" w:hAnsi="Calibri" w:cs="Calibri"/>
        </w:rPr>
      </w:pPr>
      <w:r w:rsidRPr="004B374D">
        <w:rPr>
          <w:rFonts w:ascii="Calibri" w:hAnsi="Calibri" w:cs="Calibri"/>
        </w:rPr>
        <w:t>À noter</w:t>
      </w:r>
      <w:r w:rsidR="00EB1F7A" w:rsidRPr="004B374D">
        <w:rPr>
          <w:rFonts w:ascii="Calibri" w:hAnsi="Calibri" w:cs="Calibri"/>
        </w:rPr>
        <w:t xml:space="preserve">: </w:t>
      </w:r>
      <w:r w:rsidRPr="004B374D">
        <w:rPr>
          <w:rFonts w:ascii="Calibri" w:hAnsi="Calibri" w:cs="Calibri"/>
        </w:rPr>
        <w:t>Une v</w:t>
      </w:r>
      <w:r w:rsidR="00EB1F7A" w:rsidRPr="004B374D">
        <w:rPr>
          <w:rFonts w:ascii="Calibri" w:hAnsi="Calibri" w:cs="Calibri"/>
        </w:rPr>
        <w:t xml:space="preserve">oûte institutionnelle </w:t>
      </w:r>
      <w:r w:rsidRPr="004B374D">
        <w:rPr>
          <w:rFonts w:ascii="Calibri" w:hAnsi="Calibri" w:cs="Calibri"/>
        </w:rPr>
        <w:t xml:space="preserve">sert pour </w:t>
      </w:r>
      <w:r w:rsidR="00EB1F7A" w:rsidRPr="004B374D">
        <w:rPr>
          <w:rFonts w:ascii="Calibri" w:hAnsi="Calibri" w:cs="Calibri"/>
        </w:rPr>
        <w:t xml:space="preserve">l’enregistrement institutionnel, </w:t>
      </w:r>
      <w:r w:rsidRPr="004B374D">
        <w:rPr>
          <w:rFonts w:ascii="Calibri" w:hAnsi="Calibri" w:cs="Calibri"/>
        </w:rPr>
        <w:t>donc pour regrouper</w:t>
      </w:r>
      <w:r w:rsidR="00EB1F7A" w:rsidRPr="004B374D">
        <w:rPr>
          <w:rFonts w:ascii="Calibri" w:hAnsi="Calibri" w:cs="Calibri"/>
        </w:rPr>
        <w:t xml:space="preserve"> les documents institutionnels, alors que l’espace pour la conservation permanente </w:t>
      </w:r>
      <w:r w:rsidRPr="004B374D">
        <w:rPr>
          <w:rFonts w:ascii="Calibri" w:hAnsi="Calibri" w:cs="Calibri"/>
        </w:rPr>
        <w:t>sert</w:t>
      </w:r>
      <w:r w:rsidR="00EB1F7A" w:rsidRPr="004B374D">
        <w:rPr>
          <w:rFonts w:ascii="Calibri" w:hAnsi="Calibri" w:cs="Calibri"/>
        </w:rPr>
        <w:t xml:space="preserve"> pour les documents à préserver à long terme selon le calendrier (valeur archivistique)</w:t>
      </w:r>
      <w:r>
        <w:rPr>
          <w:rFonts w:ascii="Calibri" w:hAnsi="Calibri" w:cs="Calibri"/>
        </w:rPr>
        <w:t>.</w:t>
      </w:r>
    </w:p>
    <w:p w14:paraId="56283114" w14:textId="6CC1250A" w:rsidR="002F5BB6" w:rsidRDefault="0041215E" w:rsidP="002F5BB6">
      <w:pPr>
        <w:spacing w:before="120" w:after="12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Page</w:t>
      </w:r>
      <w:r w:rsidR="00CF3F14" w:rsidRPr="0041215E">
        <w:rPr>
          <w:rFonts w:ascii="Calibri" w:hAnsi="Calibri" w:cs="Calibri"/>
          <w:b/>
          <w:bCs/>
        </w:rPr>
        <w:t xml:space="preserve"> </w:t>
      </w:r>
      <w:r w:rsidR="00C31645" w:rsidRPr="0041215E">
        <w:rPr>
          <w:rFonts w:ascii="Calibri" w:hAnsi="Calibri" w:cs="Calibri"/>
          <w:b/>
          <w:bCs/>
        </w:rPr>
        <w:t>Processus</w:t>
      </w:r>
      <w:r w:rsidR="00496986">
        <w:rPr>
          <w:rFonts w:ascii="Calibri" w:hAnsi="Calibri" w:cs="Calibri"/>
          <w:b/>
          <w:bCs/>
        </w:rPr>
        <w:t xml:space="preserve"> général</w:t>
      </w:r>
    </w:p>
    <w:p w14:paraId="4DDF22E2" w14:textId="6FDA20A4" w:rsidR="00605CF0" w:rsidRPr="004B374D" w:rsidRDefault="002F5BB6" w:rsidP="002F5BB6">
      <w:pPr>
        <w:spacing w:before="120" w:after="120" w:line="240" w:lineRule="auto"/>
        <w:jc w:val="both"/>
        <w:rPr>
          <w:rFonts w:ascii="Calibri" w:hAnsi="Calibri" w:cs="Calibri"/>
        </w:rPr>
      </w:pPr>
      <w:r w:rsidRPr="002F5BB6">
        <w:rPr>
          <w:rFonts w:ascii="Calibri" w:hAnsi="Calibri" w:cs="Calibri"/>
        </w:rPr>
        <w:t>L</w:t>
      </w:r>
      <w:r w:rsidR="00E86679" w:rsidRPr="002F5BB6">
        <w:rPr>
          <w:rFonts w:ascii="Calibri" w:hAnsi="Calibri" w:cs="Calibri"/>
        </w:rPr>
        <w:t xml:space="preserve">e diagramme </w:t>
      </w:r>
      <w:r w:rsidR="00E86679" w:rsidRPr="004B374D">
        <w:rPr>
          <w:rFonts w:ascii="Calibri" w:hAnsi="Calibri" w:cs="Calibri"/>
        </w:rPr>
        <w:t xml:space="preserve">illustre le processus </w:t>
      </w:r>
      <w:r w:rsidR="003C7241" w:rsidRPr="004B374D">
        <w:rPr>
          <w:rFonts w:ascii="Calibri" w:hAnsi="Calibri" w:cs="Calibri"/>
        </w:rPr>
        <w:t xml:space="preserve">simplifié </w:t>
      </w:r>
      <w:r w:rsidR="00E86679" w:rsidRPr="004B374D">
        <w:rPr>
          <w:rFonts w:ascii="Calibri" w:hAnsi="Calibri" w:cs="Calibri"/>
        </w:rPr>
        <w:t xml:space="preserve">de gestion de la conservation et de l’entreposage de l’information. </w:t>
      </w:r>
      <w:r w:rsidR="00605CF0" w:rsidRPr="004B374D">
        <w:rPr>
          <w:rFonts w:ascii="Calibri" w:hAnsi="Calibri" w:cs="Calibri"/>
        </w:rPr>
        <w:t>Il inclut la mention des différents livrables à prévoir pour s</w:t>
      </w:r>
      <w:r w:rsidR="00605CF0" w:rsidRPr="002F5BB6">
        <w:rPr>
          <w:rFonts w:ascii="Calibri" w:hAnsi="Calibri" w:cs="Calibri"/>
        </w:rPr>
        <w:t xml:space="preserve">outenir les activités associées à la conservation et l’entreposage. </w:t>
      </w:r>
    </w:p>
    <w:p w14:paraId="206D4FC7" w14:textId="76A3F060" w:rsidR="002F5BB6" w:rsidRDefault="0041215E" w:rsidP="002F5BB6">
      <w:pPr>
        <w:spacing w:before="120" w:after="12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</w:t>
      </w:r>
      <w:r w:rsidR="00496986">
        <w:rPr>
          <w:rFonts w:ascii="Calibri" w:hAnsi="Calibri" w:cs="Calibri"/>
          <w:b/>
          <w:bCs/>
        </w:rPr>
        <w:t>rocessus -</w:t>
      </w:r>
      <w:r w:rsidR="002F5BB6" w:rsidRPr="002F5BB6">
        <w:rPr>
          <w:rFonts w:ascii="Calibri" w:hAnsi="Calibri" w:cs="Calibri"/>
          <w:b/>
          <w:bCs/>
        </w:rPr>
        <w:t xml:space="preserve"> </w:t>
      </w:r>
      <w:r w:rsidR="00C31645" w:rsidRPr="002F5BB6">
        <w:rPr>
          <w:rFonts w:ascii="Calibri" w:hAnsi="Calibri" w:cs="Calibri"/>
          <w:b/>
          <w:bCs/>
        </w:rPr>
        <w:t>Déclassement annuel</w:t>
      </w:r>
    </w:p>
    <w:p w14:paraId="00B7E7BF" w14:textId="1E232FA9" w:rsidR="002F5BB6" w:rsidRDefault="002F5BB6" w:rsidP="002F5BB6">
      <w:pPr>
        <w:spacing w:before="120" w:after="120" w:line="240" w:lineRule="auto"/>
        <w:jc w:val="both"/>
        <w:rPr>
          <w:rFonts w:ascii="Calibri" w:hAnsi="Calibri" w:cs="Calibri"/>
          <w:color w:val="FF0000"/>
          <w:u w:val="single"/>
        </w:rPr>
      </w:pPr>
      <w:r w:rsidRPr="002F5BB6">
        <w:rPr>
          <w:rFonts w:ascii="Calibri" w:hAnsi="Calibri" w:cs="Calibri"/>
        </w:rPr>
        <w:t>L</w:t>
      </w:r>
      <w:r w:rsidR="00FA5647" w:rsidRPr="002F5BB6">
        <w:rPr>
          <w:rFonts w:ascii="Calibri" w:hAnsi="Calibri" w:cs="Calibri"/>
        </w:rPr>
        <w:t xml:space="preserve">e diagramme </w:t>
      </w:r>
      <w:r w:rsidR="00220099">
        <w:rPr>
          <w:rFonts w:ascii="Calibri" w:hAnsi="Calibri" w:cs="Calibri"/>
        </w:rPr>
        <w:t>propose</w:t>
      </w:r>
      <w:r w:rsidR="00FA5647" w:rsidRPr="002F5BB6">
        <w:rPr>
          <w:rFonts w:ascii="Calibri" w:hAnsi="Calibri" w:cs="Calibri"/>
        </w:rPr>
        <w:t xml:space="preserve"> </w:t>
      </w:r>
      <w:r w:rsidR="00220099" w:rsidRPr="00964E7A">
        <w:rPr>
          <w:rFonts w:ascii="Calibri" w:hAnsi="Calibri" w:cs="Calibri"/>
        </w:rPr>
        <w:t>l’exemple d’</w:t>
      </w:r>
      <w:r w:rsidR="00FA5647" w:rsidRPr="00964E7A">
        <w:rPr>
          <w:rFonts w:ascii="Calibri" w:hAnsi="Calibri" w:cs="Calibri"/>
        </w:rPr>
        <w:t xml:space="preserve">un processus de déclassement annuel dans un environnement M365. </w:t>
      </w:r>
      <w:r w:rsidR="00177F2C" w:rsidRPr="00964E7A">
        <w:rPr>
          <w:rFonts w:ascii="Calibri" w:hAnsi="Calibri" w:cs="Calibri"/>
        </w:rPr>
        <w:t>Bien que la fiche concerne la GI dans M365, le processus intègre la possibilité de dossiers et documents hybrides</w:t>
      </w:r>
      <w:r w:rsidR="00180E31">
        <w:rPr>
          <w:rFonts w:ascii="Calibri" w:hAnsi="Calibri" w:cs="Calibri"/>
        </w:rPr>
        <w:t>.</w:t>
      </w:r>
      <w:r w:rsidR="00E76A74">
        <w:rPr>
          <w:rFonts w:ascii="Calibri" w:hAnsi="Calibri" w:cs="Calibri"/>
        </w:rPr>
        <w:t xml:space="preserve"> </w:t>
      </w:r>
    </w:p>
    <w:p w14:paraId="55CA1CEB" w14:textId="47D8D4A8" w:rsidR="00964E7A" w:rsidRPr="00964E7A" w:rsidRDefault="00964E7A" w:rsidP="002F5BB6">
      <w:pPr>
        <w:spacing w:before="120" w:after="120" w:line="240" w:lineRule="auto"/>
        <w:jc w:val="both"/>
        <w:rPr>
          <w:rFonts w:ascii="Calibri" w:hAnsi="Calibri" w:cs="Calibri"/>
        </w:rPr>
      </w:pPr>
      <w:r w:rsidRPr="00964E7A">
        <w:rPr>
          <w:rFonts w:ascii="Calibri" w:hAnsi="Calibri" w:cs="Calibri"/>
        </w:rPr>
        <w:t>À noter : pour les organismes qui versent à BAnQ, se référer à la procédure de versement de BAnQ</w:t>
      </w:r>
      <w:r>
        <w:rPr>
          <w:rFonts w:ascii="Calibri" w:hAnsi="Calibri" w:cs="Calibri"/>
        </w:rPr>
        <w:t>.</w:t>
      </w:r>
    </w:p>
    <w:p w14:paraId="54EFADB5" w14:textId="3E009237" w:rsidR="002F5BB6" w:rsidRDefault="00496986" w:rsidP="002F5BB6">
      <w:pPr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Processus -</w:t>
      </w:r>
      <w:r w:rsidR="002F5BB6" w:rsidRPr="002F5BB6">
        <w:rPr>
          <w:rFonts w:ascii="Calibri" w:hAnsi="Calibri" w:cs="Calibri"/>
        </w:rPr>
        <w:t xml:space="preserve"> </w:t>
      </w:r>
      <w:r w:rsidR="00C31645" w:rsidRPr="002F5BB6">
        <w:rPr>
          <w:rFonts w:ascii="Calibri" w:hAnsi="Calibri" w:cs="Calibri"/>
          <w:b/>
          <w:bCs/>
        </w:rPr>
        <w:t>Déclassement ad hoc </w:t>
      </w:r>
    </w:p>
    <w:p w14:paraId="14249C4E" w14:textId="290506B1" w:rsidR="00C31645" w:rsidRPr="00964E7A" w:rsidRDefault="002F5BB6" w:rsidP="002F5BB6">
      <w:pPr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C</w:t>
      </w:r>
      <w:r w:rsidR="00177F2C" w:rsidRPr="002F5BB6">
        <w:rPr>
          <w:rFonts w:ascii="Calibri" w:hAnsi="Calibri" w:cs="Calibri"/>
        </w:rPr>
        <w:t xml:space="preserve">et exemple de processus concerne plus particulièrement une demande de déclassement ad </w:t>
      </w:r>
      <w:r w:rsidR="00177F2C" w:rsidRPr="00964E7A">
        <w:rPr>
          <w:rFonts w:ascii="Calibri" w:hAnsi="Calibri" w:cs="Calibri"/>
        </w:rPr>
        <w:t>hoc, donc en dehors de ce qui est prévu annuellement. Il peut s’agir par exemple d’un déclassement à la suite de la fermeture d’un répertoir</w:t>
      </w:r>
      <w:r w:rsidR="00272B7F" w:rsidRPr="00964E7A">
        <w:rPr>
          <w:rFonts w:ascii="Calibri" w:hAnsi="Calibri" w:cs="Calibri"/>
        </w:rPr>
        <w:t>e ou d’une équipe Teams.</w:t>
      </w:r>
    </w:p>
    <w:p w14:paraId="713FA341" w14:textId="3D4701CA" w:rsidR="002F5BB6" w:rsidRPr="00964E7A" w:rsidRDefault="0041215E" w:rsidP="002F5BB6">
      <w:pPr>
        <w:spacing w:before="120" w:after="120" w:line="240" w:lineRule="auto"/>
        <w:jc w:val="both"/>
        <w:rPr>
          <w:rFonts w:ascii="Calibri" w:hAnsi="Calibri" w:cs="Calibri"/>
        </w:rPr>
      </w:pPr>
      <w:r w:rsidRPr="00964E7A">
        <w:rPr>
          <w:rFonts w:ascii="Calibri" w:hAnsi="Calibri" w:cs="Calibri"/>
          <w:b/>
          <w:bCs/>
        </w:rPr>
        <w:t>Page</w:t>
      </w:r>
      <w:r w:rsidR="002F5BB6" w:rsidRPr="00964E7A">
        <w:rPr>
          <w:rFonts w:ascii="Calibri" w:hAnsi="Calibri" w:cs="Calibri"/>
          <w:b/>
          <w:bCs/>
        </w:rPr>
        <w:t xml:space="preserve"> </w:t>
      </w:r>
      <w:r w:rsidR="00C31645" w:rsidRPr="00964E7A">
        <w:rPr>
          <w:rFonts w:ascii="Calibri" w:hAnsi="Calibri" w:cs="Calibri"/>
          <w:b/>
          <w:bCs/>
        </w:rPr>
        <w:t>Migration</w:t>
      </w:r>
    </w:p>
    <w:p w14:paraId="313A6F2F" w14:textId="0C378C68" w:rsidR="00C31645" w:rsidRPr="00964E7A" w:rsidRDefault="002F5BB6" w:rsidP="002F5BB6">
      <w:pPr>
        <w:spacing w:before="120" w:after="120" w:line="240" w:lineRule="auto"/>
        <w:jc w:val="both"/>
        <w:rPr>
          <w:rFonts w:ascii="Calibri" w:hAnsi="Calibri" w:cs="Calibri"/>
        </w:rPr>
      </w:pPr>
      <w:r w:rsidRPr="00964E7A">
        <w:rPr>
          <w:rFonts w:ascii="Calibri" w:hAnsi="Calibri" w:cs="Calibri"/>
        </w:rPr>
        <w:t>C</w:t>
      </w:r>
      <w:r w:rsidR="00413998" w:rsidRPr="00964E7A">
        <w:rPr>
          <w:rFonts w:ascii="Calibri" w:hAnsi="Calibri" w:cs="Calibri"/>
        </w:rPr>
        <w:t xml:space="preserve">et onglet </w:t>
      </w:r>
      <w:r w:rsidR="00983E05" w:rsidRPr="00964E7A">
        <w:rPr>
          <w:rFonts w:ascii="Calibri" w:hAnsi="Calibri" w:cs="Calibri"/>
        </w:rPr>
        <w:t>présente</w:t>
      </w:r>
      <w:r w:rsidR="00413998" w:rsidRPr="00964E7A">
        <w:rPr>
          <w:rFonts w:ascii="Calibri" w:hAnsi="Calibri" w:cs="Calibri"/>
        </w:rPr>
        <w:t xml:space="preserve"> le processus de migration qui a lieu lors du passage de répertoires sur serveur à des bibliothèques/équipes/sites M365/SharePoint. Il inclut les principaux livrables à produire pour assurer le suivi et documenter le processus.</w:t>
      </w:r>
      <w:r w:rsidR="001E6D8D" w:rsidRPr="00964E7A">
        <w:rPr>
          <w:rFonts w:ascii="Calibri" w:hAnsi="Calibri" w:cs="Calibri"/>
        </w:rPr>
        <w:t xml:space="preserve"> </w:t>
      </w:r>
    </w:p>
    <w:p w14:paraId="07EAA688" w14:textId="71998C78" w:rsidR="00C31645" w:rsidRDefault="006174FD" w:rsidP="002F5BB6">
      <w:pPr>
        <w:spacing w:line="240" w:lineRule="auto"/>
        <w:jc w:val="both"/>
        <w:rPr>
          <w:rFonts w:ascii="Calibri" w:hAnsi="Calibri" w:cs="Calibri"/>
        </w:rPr>
      </w:pPr>
      <w:r w:rsidRPr="00964E7A">
        <w:rPr>
          <w:rFonts w:ascii="Calibri" w:hAnsi="Calibri" w:cs="Calibri"/>
          <w:u w:val="single"/>
        </w:rPr>
        <w:t>Note</w:t>
      </w:r>
      <w:r w:rsidRPr="00964E7A">
        <w:rPr>
          <w:rFonts w:ascii="Calibri" w:hAnsi="Calibri" w:cs="Calibri"/>
        </w:rPr>
        <w:t xml:space="preserve"> : </w:t>
      </w:r>
      <w:r w:rsidR="0089031A">
        <w:rPr>
          <w:rFonts w:ascii="Calibri" w:hAnsi="Calibri" w:cs="Calibri"/>
        </w:rPr>
        <w:t xml:space="preserve">un </w:t>
      </w:r>
      <w:r w:rsidR="008A602F">
        <w:rPr>
          <w:rFonts w:ascii="Calibri" w:hAnsi="Calibri" w:cs="Calibri"/>
        </w:rPr>
        <w:t>exemple</w:t>
      </w:r>
      <w:r w:rsidR="0089031A">
        <w:rPr>
          <w:rFonts w:ascii="Calibri" w:hAnsi="Calibri" w:cs="Calibri"/>
        </w:rPr>
        <w:t xml:space="preserve"> de procédure</w:t>
      </w:r>
      <w:r w:rsidR="008A602F">
        <w:rPr>
          <w:rFonts w:ascii="Calibri" w:hAnsi="Calibri" w:cs="Calibri"/>
        </w:rPr>
        <w:t xml:space="preserve"> de migration vers SharePoint</w:t>
      </w:r>
      <w:r w:rsidRPr="00964E7A">
        <w:rPr>
          <w:rFonts w:ascii="Calibri" w:hAnsi="Calibri" w:cs="Calibri"/>
        </w:rPr>
        <w:t xml:space="preserve"> est également proposé en accompagnement de la fiche 5</w:t>
      </w:r>
      <w:r w:rsidR="008B6803" w:rsidRPr="00964E7A">
        <w:rPr>
          <w:rFonts w:ascii="Calibri" w:hAnsi="Calibri" w:cs="Calibri"/>
        </w:rPr>
        <w:t>.</w:t>
      </w:r>
      <w:r w:rsidR="008B6803">
        <w:rPr>
          <w:rFonts w:ascii="Calibri" w:hAnsi="Calibri" w:cs="Calibri"/>
        </w:rPr>
        <w:t xml:space="preserve"> </w:t>
      </w:r>
      <w:r w:rsidR="00BB25B1">
        <w:rPr>
          <w:rFonts w:ascii="Calibri" w:hAnsi="Calibri" w:cs="Calibri"/>
        </w:rPr>
        <w:t>Elle énumère</w:t>
      </w:r>
      <w:r w:rsidR="008B6803">
        <w:rPr>
          <w:rFonts w:ascii="Calibri" w:hAnsi="Calibri" w:cs="Calibri"/>
        </w:rPr>
        <w:t xml:space="preserve"> les principales étapes </w:t>
      </w:r>
      <w:r w:rsidR="00BB25B1">
        <w:rPr>
          <w:rFonts w:ascii="Calibri" w:hAnsi="Calibri" w:cs="Calibri"/>
        </w:rPr>
        <w:t xml:space="preserve">structurant </w:t>
      </w:r>
      <w:r w:rsidR="008B6803">
        <w:rPr>
          <w:rFonts w:ascii="Calibri" w:hAnsi="Calibri" w:cs="Calibri"/>
        </w:rPr>
        <w:t xml:space="preserve">un projet de migration </w:t>
      </w:r>
      <w:r w:rsidR="003C6180">
        <w:rPr>
          <w:rFonts w:ascii="Calibri" w:hAnsi="Calibri" w:cs="Calibri"/>
        </w:rPr>
        <w:t xml:space="preserve">des dossiers et fichiers à partir </w:t>
      </w:r>
      <w:r w:rsidR="008B6803">
        <w:rPr>
          <w:rFonts w:ascii="Calibri" w:hAnsi="Calibri" w:cs="Calibri"/>
        </w:rPr>
        <w:t>de</w:t>
      </w:r>
      <w:r w:rsidR="003C6180">
        <w:rPr>
          <w:rFonts w:ascii="Calibri" w:hAnsi="Calibri" w:cs="Calibri"/>
        </w:rPr>
        <w:t>s répertoires sur serveurs vers</w:t>
      </w:r>
      <w:r w:rsidR="00EE1EB7">
        <w:rPr>
          <w:rFonts w:ascii="Calibri" w:hAnsi="Calibri" w:cs="Calibri"/>
        </w:rPr>
        <w:t xml:space="preserve"> les bibliothèques et sites</w:t>
      </w:r>
      <w:r w:rsidR="003C6180">
        <w:rPr>
          <w:rFonts w:ascii="Calibri" w:hAnsi="Calibri" w:cs="Calibri"/>
        </w:rPr>
        <w:t xml:space="preserve"> M365/SharePoint (infonuagique).</w:t>
      </w:r>
    </w:p>
    <w:p w14:paraId="0782B9F4" w14:textId="7F0D22CC" w:rsidR="005778CD" w:rsidRPr="00571F3D" w:rsidRDefault="005778CD" w:rsidP="002F5BB6">
      <w:pPr>
        <w:spacing w:line="240" w:lineRule="auto"/>
        <w:jc w:val="both"/>
        <w:rPr>
          <w:rFonts w:ascii="Calibri" w:hAnsi="Calibri" w:cs="Calibri"/>
          <w:color w:val="FF0000"/>
        </w:rPr>
      </w:pPr>
    </w:p>
    <w:sectPr w:rsidR="005778CD" w:rsidRPr="00571F3D" w:rsidSect="002802E2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076D0" w14:textId="77777777" w:rsidR="00E55247" w:rsidRDefault="00E55247" w:rsidP="00D66702">
      <w:pPr>
        <w:spacing w:after="0" w:line="240" w:lineRule="auto"/>
      </w:pPr>
      <w:r>
        <w:separator/>
      </w:r>
    </w:p>
  </w:endnote>
  <w:endnote w:type="continuationSeparator" w:id="0">
    <w:p w14:paraId="7AD090F5" w14:textId="77777777" w:rsidR="00E55247" w:rsidRDefault="00E55247" w:rsidP="00D6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8FD6" w14:textId="77777777" w:rsidR="00E55247" w:rsidRDefault="00E55247" w:rsidP="00D66702">
      <w:pPr>
        <w:spacing w:after="0" w:line="240" w:lineRule="auto"/>
      </w:pPr>
      <w:r>
        <w:separator/>
      </w:r>
    </w:p>
  </w:footnote>
  <w:footnote w:type="continuationSeparator" w:id="0">
    <w:p w14:paraId="618D39A3" w14:textId="77777777" w:rsidR="00E55247" w:rsidRDefault="00E55247" w:rsidP="00D66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4A65"/>
    <w:multiLevelType w:val="multilevel"/>
    <w:tmpl w:val="7EC60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B6566"/>
    <w:multiLevelType w:val="hybridMultilevel"/>
    <w:tmpl w:val="16B45C38"/>
    <w:lvl w:ilvl="0" w:tplc="5412B5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40F6D"/>
    <w:multiLevelType w:val="multilevel"/>
    <w:tmpl w:val="0ED42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285361">
    <w:abstractNumId w:val="1"/>
  </w:num>
  <w:num w:numId="2" w16cid:durableId="507405542">
    <w:abstractNumId w:val="0"/>
  </w:num>
  <w:num w:numId="3" w16cid:durableId="875316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ED"/>
    <w:rsid w:val="00032329"/>
    <w:rsid w:val="00080CCE"/>
    <w:rsid w:val="000863F2"/>
    <w:rsid w:val="00092C1D"/>
    <w:rsid w:val="000A4ACF"/>
    <w:rsid w:val="000B12A4"/>
    <w:rsid w:val="000B5E5A"/>
    <w:rsid w:val="000C6140"/>
    <w:rsid w:val="000F0C17"/>
    <w:rsid w:val="000F7056"/>
    <w:rsid w:val="00103227"/>
    <w:rsid w:val="001051AE"/>
    <w:rsid w:val="0012173C"/>
    <w:rsid w:val="00170F29"/>
    <w:rsid w:val="00177F2C"/>
    <w:rsid w:val="00180E31"/>
    <w:rsid w:val="001D68E7"/>
    <w:rsid w:val="001E6D8D"/>
    <w:rsid w:val="00204617"/>
    <w:rsid w:val="00216BA7"/>
    <w:rsid w:val="00220099"/>
    <w:rsid w:val="00247D4C"/>
    <w:rsid w:val="00256CC9"/>
    <w:rsid w:val="00272B7F"/>
    <w:rsid w:val="002802E2"/>
    <w:rsid w:val="002A5222"/>
    <w:rsid w:val="002C53B5"/>
    <w:rsid w:val="002C5436"/>
    <w:rsid w:val="002C68D1"/>
    <w:rsid w:val="002E7FED"/>
    <w:rsid w:val="002F00ED"/>
    <w:rsid w:val="002F5BB6"/>
    <w:rsid w:val="00327BDA"/>
    <w:rsid w:val="00373C85"/>
    <w:rsid w:val="003A37F9"/>
    <w:rsid w:val="003C6180"/>
    <w:rsid w:val="003C7241"/>
    <w:rsid w:val="0041215E"/>
    <w:rsid w:val="00413998"/>
    <w:rsid w:val="00473179"/>
    <w:rsid w:val="00477C80"/>
    <w:rsid w:val="0048704C"/>
    <w:rsid w:val="00496986"/>
    <w:rsid w:val="004A2843"/>
    <w:rsid w:val="004A78E2"/>
    <w:rsid w:val="004B374D"/>
    <w:rsid w:val="004F4B94"/>
    <w:rsid w:val="00526E87"/>
    <w:rsid w:val="00560758"/>
    <w:rsid w:val="005711EB"/>
    <w:rsid w:val="00571F3D"/>
    <w:rsid w:val="005778CD"/>
    <w:rsid w:val="005B468B"/>
    <w:rsid w:val="005D507C"/>
    <w:rsid w:val="005E3072"/>
    <w:rsid w:val="00604B2D"/>
    <w:rsid w:val="00605CF0"/>
    <w:rsid w:val="00610B7C"/>
    <w:rsid w:val="006158D8"/>
    <w:rsid w:val="006174FD"/>
    <w:rsid w:val="00625DC8"/>
    <w:rsid w:val="00634287"/>
    <w:rsid w:val="006369DF"/>
    <w:rsid w:val="00642932"/>
    <w:rsid w:val="00642D32"/>
    <w:rsid w:val="0065008A"/>
    <w:rsid w:val="00665DEA"/>
    <w:rsid w:val="006B2F09"/>
    <w:rsid w:val="00735FE6"/>
    <w:rsid w:val="00776544"/>
    <w:rsid w:val="00784B7C"/>
    <w:rsid w:val="007B30D7"/>
    <w:rsid w:val="007F6E4C"/>
    <w:rsid w:val="00810A5A"/>
    <w:rsid w:val="008427B1"/>
    <w:rsid w:val="00850534"/>
    <w:rsid w:val="008621DD"/>
    <w:rsid w:val="00872CC7"/>
    <w:rsid w:val="0089031A"/>
    <w:rsid w:val="008A602F"/>
    <w:rsid w:val="008B0977"/>
    <w:rsid w:val="008B6803"/>
    <w:rsid w:val="00910EB6"/>
    <w:rsid w:val="009142F4"/>
    <w:rsid w:val="00942B41"/>
    <w:rsid w:val="00943CD5"/>
    <w:rsid w:val="00964E7A"/>
    <w:rsid w:val="00972E89"/>
    <w:rsid w:val="00975765"/>
    <w:rsid w:val="00983E05"/>
    <w:rsid w:val="009A0ED0"/>
    <w:rsid w:val="009C118D"/>
    <w:rsid w:val="00A6175D"/>
    <w:rsid w:val="00AA6971"/>
    <w:rsid w:val="00AB3117"/>
    <w:rsid w:val="00AC730E"/>
    <w:rsid w:val="00AD07F7"/>
    <w:rsid w:val="00AD6F46"/>
    <w:rsid w:val="00B13185"/>
    <w:rsid w:val="00B27E45"/>
    <w:rsid w:val="00B338E5"/>
    <w:rsid w:val="00B9027F"/>
    <w:rsid w:val="00B97E89"/>
    <w:rsid w:val="00BB25B1"/>
    <w:rsid w:val="00BD5A7F"/>
    <w:rsid w:val="00C31645"/>
    <w:rsid w:val="00C569A2"/>
    <w:rsid w:val="00C7024E"/>
    <w:rsid w:val="00CB4388"/>
    <w:rsid w:val="00CC3B7B"/>
    <w:rsid w:val="00CD2A67"/>
    <w:rsid w:val="00CE3646"/>
    <w:rsid w:val="00CF3F14"/>
    <w:rsid w:val="00D65220"/>
    <w:rsid w:val="00D66702"/>
    <w:rsid w:val="00D85EEE"/>
    <w:rsid w:val="00DF3970"/>
    <w:rsid w:val="00E32BF3"/>
    <w:rsid w:val="00E355D2"/>
    <w:rsid w:val="00E43EF3"/>
    <w:rsid w:val="00E55247"/>
    <w:rsid w:val="00E76A74"/>
    <w:rsid w:val="00E771AB"/>
    <w:rsid w:val="00E86679"/>
    <w:rsid w:val="00EA2EB0"/>
    <w:rsid w:val="00EA4939"/>
    <w:rsid w:val="00EB1F7A"/>
    <w:rsid w:val="00ED16E6"/>
    <w:rsid w:val="00ED6C2A"/>
    <w:rsid w:val="00EE1EB7"/>
    <w:rsid w:val="00F00BA6"/>
    <w:rsid w:val="00F14BC5"/>
    <w:rsid w:val="00F154EE"/>
    <w:rsid w:val="00F165E1"/>
    <w:rsid w:val="00F1750C"/>
    <w:rsid w:val="00F32B10"/>
    <w:rsid w:val="00F41630"/>
    <w:rsid w:val="00F658D1"/>
    <w:rsid w:val="00F72D57"/>
    <w:rsid w:val="00F95701"/>
    <w:rsid w:val="00FA5647"/>
    <w:rsid w:val="00FB4183"/>
    <w:rsid w:val="00FC206A"/>
    <w:rsid w:val="00FD5600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FEEA"/>
  <w15:chartTrackingRefBased/>
  <w15:docId w15:val="{7E83F3D6-AF2E-4D6E-A408-D14E8112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0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0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0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F0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F0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F0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F0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F0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F0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0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F0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F0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F00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F00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F00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F00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F00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F00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F0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0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F0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F0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F0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F00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F00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F00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0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00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F00E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667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6702"/>
  </w:style>
  <w:style w:type="paragraph" w:styleId="Pieddepage">
    <w:name w:val="footer"/>
    <w:basedOn w:val="Normal"/>
    <w:link w:val="PieddepageCar"/>
    <w:uiPriority w:val="99"/>
    <w:unhideWhenUsed/>
    <w:rsid w:val="00D667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6702"/>
  </w:style>
  <w:style w:type="character" w:styleId="Marquedecommentaire">
    <w:name w:val="annotation reference"/>
    <w:basedOn w:val="Policepardfaut"/>
    <w:uiPriority w:val="99"/>
    <w:semiHidden/>
    <w:unhideWhenUsed/>
    <w:rsid w:val="000863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863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863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63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63F2"/>
    <w:rPr>
      <w:b/>
      <w:bCs/>
      <w:sz w:val="20"/>
      <w:szCs w:val="20"/>
    </w:rPr>
  </w:style>
  <w:style w:type="character" w:styleId="Hyperlien">
    <w:name w:val="Hyperlink"/>
    <w:basedOn w:val="Policepardfaut"/>
    <w:uiPriority w:val="99"/>
    <w:semiHidden/>
    <w:unhideWhenUsed/>
    <w:rsid w:val="005778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E32B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C65B1DB7BE543B9C9DD9F87D28599" ma:contentTypeVersion="12" ma:contentTypeDescription="Crée un document." ma:contentTypeScope="" ma:versionID="b3972a10d36aeb12eefa7589d99051b6">
  <xsd:schema xmlns:xsd="http://www.w3.org/2001/XMLSchema" xmlns:xs="http://www.w3.org/2001/XMLSchema" xmlns:p="http://schemas.microsoft.com/office/2006/metadata/properties" xmlns:ns2="714ce19d-5dc2-41f2-a506-a95004cf9e9d" xmlns:ns3="6891c381-cd23-4dff-bb90-385667f70026" targetNamespace="http://schemas.microsoft.com/office/2006/metadata/properties" ma:root="true" ma:fieldsID="fb6d3e46eba1b26517105a60d09739db" ns2:_="" ns3:_="">
    <xsd:import namespace="714ce19d-5dc2-41f2-a506-a95004cf9e9d"/>
    <xsd:import namespace="6891c381-cd23-4dff-bb90-385667f70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ce19d-5dc2-41f2-a506-a95004cf9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c381-cd23-4dff-bb90-385667f70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C43D-1EE7-4CC6-B1F9-185262CF4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ce19d-5dc2-41f2-a506-a95004cf9e9d"/>
    <ds:schemaRef ds:uri="6891c381-cd23-4dff-bb90-385667f70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BEBDF-2A11-4EBE-ACC4-CF48DE151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797F3-1178-4B22-848D-78F7033707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1FE1B5-6CF3-4D02-ACFE-177D26D7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Marie-Josée</dc:creator>
  <cp:keywords/>
  <dc:description/>
  <cp:lastModifiedBy>Allard, Marie-Josée</cp:lastModifiedBy>
  <cp:revision>53</cp:revision>
  <dcterms:created xsi:type="dcterms:W3CDTF">2024-05-30T12:50:00Z</dcterms:created>
  <dcterms:modified xsi:type="dcterms:W3CDTF">2024-12-12T13:15:00Z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0x010100E87C65B1DB7BE543B9C9DD9F87D28599</vt:lpwstr>
  </property>
</Properties>
</file>