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C50C5" w14:textId="7E00BC9C" w:rsidR="003574B1" w:rsidRDefault="00A606E9">
      <w:pPr>
        <w:pStyle w:val="Titre1"/>
        <w:jc w:val="center"/>
      </w:pPr>
      <w:r>
        <w:t>P</w:t>
      </w:r>
      <w:r w:rsidRPr="00E81CD3">
        <w:t xml:space="preserve">résentation fiche </w:t>
      </w:r>
      <w:r w:rsidR="00EA5E62">
        <w:t>3</w:t>
      </w:r>
      <w:r w:rsidRPr="00E81CD3">
        <w:t> :</w:t>
      </w:r>
    </w:p>
    <w:p w14:paraId="0723B282" w14:textId="77777777" w:rsidR="00EA5E62" w:rsidRDefault="00EA5E62" w:rsidP="005572EB">
      <w:pPr>
        <w:pStyle w:val="Titre1"/>
        <w:jc w:val="center"/>
      </w:pPr>
      <w:r>
        <w:t xml:space="preserve">Gestion des périodes d’utilisation et de la disposition de l’information </w:t>
      </w:r>
    </w:p>
    <w:p w14:paraId="1E5A085E" w14:textId="1A68F725" w:rsidR="00E0248A" w:rsidRPr="002C310E" w:rsidRDefault="00A606E9" w:rsidP="00C4686B">
      <w:pPr>
        <w:spacing w:line="240" w:lineRule="auto"/>
        <w:rPr>
          <w:color w:val="ED7D31" w:themeColor="accent2"/>
        </w:rPr>
      </w:pPr>
      <w:r>
        <w:t xml:space="preserve">Cette </w:t>
      </w:r>
      <w:r w:rsidR="00EA5E62">
        <w:t>troisième</w:t>
      </w:r>
      <w:r>
        <w:t xml:space="preserve"> fiche concerne </w:t>
      </w:r>
      <w:r w:rsidR="00EA5E62">
        <w:t xml:space="preserve">la gestion </w:t>
      </w:r>
      <w:r w:rsidR="00C32F6E">
        <w:t>du cycle de vie</w:t>
      </w:r>
      <w:r w:rsidR="00EA5E62">
        <w:t xml:space="preserve"> de l’information </w:t>
      </w:r>
      <w:r>
        <w:t>dans Microsoft 365 / SharePoint</w:t>
      </w:r>
      <w:r w:rsidR="005E1F4F">
        <w:t xml:space="preserve"> (SP)</w:t>
      </w:r>
      <w:r>
        <w:t xml:space="preserve">. </w:t>
      </w:r>
    </w:p>
    <w:p w14:paraId="397D8A69" w14:textId="182DDDB5" w:rsidR="007E2B3D" w:rsidRPr="00BD5958" w:rsidRDefault="007E2B3D" w:rsidP="00C4686B">
      <w:pPr>
        <w:spacing w:line="240" w:lineRule="auto"/>
        <w:rPr>
          <w:color w:val="FF0000"/>
        </w:rPr>
      </w:pPr>
      <w:r>
        <w:t>Pour les besoins de compréhension de cette fiche, ce tableau précise le sens des termes utilisés </w:t>
      </w:r>
      <w:r w:rsidR="00FD68E9">
        <w:t>dans cette fiche dans une perspective de GI :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7E2B3D" w:rsidRPr="0083783A" w14:paraId="7E7D9C6A" w14:textId="77777777" w:rsidTr="00A671D6">
        <w:tc>
          <w:tcPr>
            <w:tcW w:w="2405" w:type="dxa"/>
          </w:tcPr>
          <w:p w14:paraId="4671CFCD" w14:textId="74885219" w:rsidR="007E2B3D" w:rsidRPr="0083783A" w:rsidRDefault="007E2B3D" w:rsidP="0083783A">
            <w:pPr>
              <w:jc w:val="center"/>
              <w:rPr>
                <w:smallCaps/>
              </w:rPr>
            </w:pPr>
            <w:r>
              <w:rPr>
                <w:smallCaps/>
              </w:rPr>
              <w:t>Termes</w:t>
            </w:r>
          </w:p>
        </w:tc>
        <w:tc>
          <w:tcPr>
            <w:tcW w:w="7088" w:type="dxa"/>
          </w:tcPr>
          <w:p w14:paraId="426D846A" w14:textId="767D7802" w:rsidR="007E2B3D" w:rsidRPr="0083783A" w:rsidRDefault="007E2B3D" w:rsidP="0083783A">
            <w:pPr>
              <w:jc w:val="center"/>
              <w:rPr>
                <w:smallCaps/>
              </w:rPr>
            </w:pPr>
            <w:r w:rsidRPr="0083783A">
              <w:rPr>
                <w:smallCaps/>
              </w:rPr>
              <w:t>Contexte d’utilisation</w:t>
            </w:r>
          </w:p>
        </w:tc>
      </w:tr>
      <w:tr w:rsidR="00A671D6" w14:paraId="0A0EB221" w14:textId="77777777" w:rsidTr="00A671D6">
        <w:tc>
          <w:tcPr>
            <w:tcW w:w="2405" w:type="dxa"/>
          </w:tcPr>
          <w:p w14:paraId="468B5744" w14:textId="77777777" w:rsidR="00A671D6" w:rsidRDefault="00A671D6" w:rsidP="0083783A">
            <w:pPr>
              <w:jc w:val="both"/>
            </w:pPr>
            <w:r>
              <w:t>Espace de collaboration</w:t>
            </w:r>
          </w:p>
        </w:tc>
        <w:tc>
          <w:tcPr>
            <w:tcW w:w="7088" w:type="dxa"/>
          </w:tcPr>
          <w:p w14:paraId="6A9FA876" w14:textId="16889E13" w:rsidR="00A671D6" w:rsidRDefault="0067500B" w:rsidP="0083783A">
            <w:pPr>
              <w:jc w:val="both"/>
            </w:pPr>
            <w:r>
              <w:t>Il permet à chaque participant de créer ou de partager des dossiers et des documents en temps réel.</w:t>
            </w:r>
          </w:p>
        </w:tc>
      </w:tr>
      <w:tr w:rsidR="00A671D6" w14:paraId="69A631A4" w14:textId="77777777" w:rsidTr="00A671D6">
        <w:tc>
          <w:tcPr>
            <w:tcW w:w="2405" w:type="dxa"/>
          </w:tcPr>
          <w:p w14:paraId="70D447BE" w14:textId="77777777" w:rsidR="00A671D6" w:rsidRDefault="00A671D6" w:rsidP="0083783A">
            <w:pPr>
              <w:jc w:val="both"/>
            </w:pPr>
            <w:r>
              <w:t>Information éphémère</w:t>
            </w:r>
          </w:p>
        </w:tc>
        <w:tc>
          <w:tcPr>
            <w:tcW w:w="7088" w:type="dxa"/>
          </w:tcPr>
          <w:p w14:paraId="1AD1473A" w14:textId="619105DD" w:rsidR="00A671D6" w:rsidRDefault="0067500B" w:rsidP="0083783A">
            <w:pPr>
              <w:jc w:val="both"/>
            </w:pPr>
            <w:r>
              <w:t xml:space="preserve">Renseignements informels ou d’intérêt éphémère, par exemple document de référence, notes, ébauches, copies et doubles, documents de convocation à une réunion du personnel, etc. </w:t>
            </w:r>
          </w:p>
        </w:tc>
      </w:tr>
      <w:tr w:rsidR="00A671D6" w14:paraId="584E4F03" w14:textId="77777777" w:rsidTr="00A671D6">
        <w:tc>
          <w:tcPr>
            <w:tcW w:w="2405" w:type="dxa"/>
          </w:tcPr>
          <w:p w14:paraId="27CB5BE9" w14:textId="77777777" w:rsidR="00A671D6" w:rsidRDefault="00A671D6" w:rsidP="0083783A">
            <w:pPr>
              <w:jc w:val="both"/>
            </w:pPr>
            <w:r w:rsidRPr="00FD68E9">
              <w:t>Information non gérée</w:t>
            </w:r>
          </w:p>
        </w:tc>
        <w:tc>
          <w:tcPr>
            <w:tcW w:w="7088" w:type="dxa"/>
          </w:tcPr>
          <w:p w14:paraId="3F91D2BC" w14:textId="33EC81F5" w:rsidR="00A671D6" w:rsidRDefault="00720AAA" w:rsidP="0083783A">
            <w:pPr>
              <w:jc w:val="both"/>
            </w:pPr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Qui n’a</w:t>
            </w:r>
            <w:r w:rsidR="00395114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 xml:space="preserve"> pas de valeur opérationnelle pour une organisation</w:t>
            </w:r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 xml:space="preserve">, qui n’est </w:t>
            </w:r>
            <w:r w:rsidR="00395114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pas utilisé</w:t>
            </w:r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e</w:t>
            </w:r>
            <w:r w:rsidR="00395114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 xml:space="preserve"> pour conduire des opérations, prendre des décisions ou rendre des comptes. </w:t>
            </w:r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E</w:t>
            </w:r>
            <w:r w:rsidR="002C2E6A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lle est généralement</w:t>
            </w:r>
            <w:r w:rsidR="00395114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 xml:space="preserve"> produite, reçue ou collectée en dehors des activités principales de l'organisation. </w:t>
            </w:r>
          </w:p>
        </w:tc>
      </w:tr>
      <w:tr w:rsidR="00A671D6" w14:paraId="3DB0713E" w14:textId="77777777" w:rsidTr="00A671D6">
        <w:tc>
          <w:tcPr>
            <w:tcW w:w="2405" w:type="dxa"/>
          </w:tcPr>
          <w:p w14:paraId="4F3A0253" w14:textId="77777777" w:rsidR="00A671D6" w:rsidRDefault="00A671D6" w:rsidP="0083783A">
            <w:pPr>
              <w:jc w:val="both"/>
            </w:pPr>
            <w:r>
              <w:t>Système métier</w:t>
            </w:r>
          </w:p>
        </w:tc>
        <w:tc>
          <w:tcPr>
            <w:tcW w:w="7088" w:type="dxa"/>
          </w:tcPr>
          <w:p w14:paraId="7F781AFE" w14:textId="160A8D0F" w:rsidR="00A671D6" w:rsidRDefault="007766B4" w:rsidP="0083783A">
            <w:pPr>
              <w:jc w:val="both"/>
            </w:pPr>
            <w:r>
              <w:t>U</w:t>
            </w:r>
            <w:r w:rsidR="00F57E88" w:rsidRPr="00F57E88">
              <w:t>n système métier est un outil informatique sur mesure</w:t>
            </w:r>
            <w:r w:rsidR="009236E6">
              <w:t>,</w:t>
            </w:r>
            <w:r w:rsidR="00F57E88" w:rsidRPr="00F57E88">
              <w:t xml:space="preserve"> conçu pour soutenir les processus et les objectifs spécifiques d'une entreprise dans un domaine d'activité donné.</w:t>
            </w:r>
          </w:p>
        </w:tc>
      </w:tr>
      <w:tr w:rsidR="00A671D6" w14:paraId="2AD3733D" w14:textId="77777777" w:rsidTr="00A671D6">
        <w:tc>
          <w:tcPr>
            <w:tcW w:w="2405" w:type="dxa"/>
          </w:tcPr>
          <w:p w14:paraId="34F531D0" w14:textId="2DD22508" w:rsidR="00A671D6" w:rsidRDefault="00A671D6" w:rsidP="0083783A">
            <w:pPr>
              <w:jc w:val="both"/>
            </w:pPr>
            <w:r>
              <w:t>Système tier</w:t>
            </w:r>
            <w:r w:rsidR="009236E6">
              <w:t>s</w:t>
            </w:r>
          </w:p>
        </w:tc>
        <w:tc>
          <w:tcPr>
            <w:tcW w:w="7088" w:type="dxa"/>
          </w:tcPr>
          <w:p w14:paraId="3D84CDAE" w14:textId="34D79B9E" w:rsidR="00A671D6" w:rsidRDefault="007766B4" w:rsidP="0083783A">
            <w:pPr>
              <w:jc w:val="both"/>
            </w:pPr>
            <w:r>
              <w:t>S</w:t>
            </w:r>
            <w:r w:rsidRPr="007766B4">
              <w:t>ystème ou composant externe à une organisation ou à un système spécifique. Les systèmes tiers sont généralement développés par des fournisseurs tiers et sont intégrés à un système existant pour étendre ses fonctionnalités ou interagir avec d'autres systèmes externes.</w:t>
            </w:r>
          </w:p>
        </w:tc>
      </w:tr>
      <w:tr w:rsidR="00A671D6" w14:paraId="5136858A" w14:textId="77777777" w:rsidTr="00A671D6">
        <w:tc>
          <w:tcPr>
            <w:tcW w:w="2405" w:type="dxa"/>
          </w:tcPr>
          <w:p w14:paraId="0CF8BBA3" w14:textId="77777777" w:rsidR="00A671D6" w:rsidRDefault="00A671D6" w:rsidP="0083783A">
            <w:pPr>
              <w:jc w:val="both"/>
            </w:pPr>
            <w:r>
              <w:t>Voûte documentaire</w:t>
            </w:r>
          </w:p>
        </w:tc>
        <w:tc>
          <w:tcPr>
            <w:tcW w:w="7088" w:type="dxa"/>
          </w:tcPr>
          <w:p w14:paraId="3D4312D7" w14:textId="17395E32" w:rsidR="00A671D6" w:rsidRDefault="00F57E88" w:rsidP="0083783A">
            <w:pPr>
              <w:jc w:val="both"/>
            </w:pPr>
            <w:r>
              <w:t>Espace dans lequel sont conservés les documents et l’information de l’organisation, temporairement ou de manière permanente, afin d’en préserver les qualités.</w:t>
            </w:r>
          </w:p>
        </w:tc>
      </w:tr>
    </w:tbl>
    <w:p w14:paraId="409A16AF" w14:textId="772972E2" w:rsidR="00CF6330" w:rsidRDefault="00B71679" w:rsidP="00B71679">
      <w:pPr>
        <w:spacing w:before="240" w:after="120" w:line="240" w:lineRule="auto"/>
        <w:jc w:val="both"/>
        <w:rPr>
          <w:b/>
          <w:bCs/>
        </w:rPr>
      </w:pPr>
      <w:r>
        <w:t>Voici</w:t>
      </w:r>
      <w:r w:rsidR="008E3450">
        <w:t xml:space="preserve"> une description de chacun des onglets </w:t>
      </w:r>
      <w:r w:rsidR="00033737">
        <w:t xml:space="preserve">(ou page, pour la version PDF) </w:t>
      </w:r>
      <w:r w:rsidR="00B9236A">
        <w:t>de la</w:t>
      </w:r>
      <w:r w:rsidR="008E3450">
        <w:t xml:space="preserve"> fiche :</w:t>
      </w:r>
      <w:r w:rsidR="008E3450">
        <w:rPr>
          <w:b/>
          <w:bCs/>
        </w:rPr>
        <w:t> </w:t>
      </w:r>
    </w:p>
    <w:p w14:paraId="5298967D" w14:textId="44FFD108" w:rsidR="00037640" w:rsidRPr="00CF6330" w:rsidRDefault="002057FD" w:rsidP="00CF6330">
      <w:pPr>
        <w:pStyle w:val="Titre2"/>
        <w:rPr>
          <w:b/>
          <w:bCs/>
        </w:rPr>
      </w:pPr>
      <w:r>
        <w:t>Gestionnaire de l’info.</w:t>
      </w:r>
      <w:r w:rsidR="008E3450" w:rsidRPr="00CF6330">
        <w:t> </w:t>
      </w:r>
      <w:r w:rsidR="00037640" w:rsidRPr="007B22CF">
        <w:t>:</w:t>
      </w:r>
    </w:p>
    <w:p w14:paraId="22C67C41" w14:textId="534B9C7B" w:rsidR="00CF6330" w:rsidRDefault="006C3AC0" w:rsidP="00CF6330">
      <w:pPr>
        <w:spacing w:line="240" w:lineRule="auto"/>
        <w:jc w:val="both"/>
      </w:pPr>
      <w:r>
        <w:t xml:space="preserve">Cet onglet </w:t>
      </w:r>
      <w:r w:rsidR="0070020B" w:rsidRPr="009F5E9E">
        <w:t>identifie</w:t>
      </w:r>
      <w:r w:rsidR="008E3450" w:rsidRPr="009F5E9E">
        <w:t xml:space="preserve"> différentes activité</w:t>
      </w:r>
      <w:r w:rsidRPr="009F5E9E">
        <w:t>s</w:t>
      </w:r>
      <w:r w:rsidR="008E3450" w:rsidRPr="009F5E9E">
        <w:t xml:space="preserve"> </w:t>
      </w:r>
      <w:r w:rsidR="002A7666" w:rsidRPr="009F5E9E">
        <w:t xml:space="preserve">que le gestionnaire de l’information doit considérer </w:t>
      </w:r>
      <w:r w:rsidRPr="009F5E9E">
        <w:t xml:space="preserve">pour arriver à </w:t>
      </w:r>
      <w:r w:rsidR="00044BC3" w:rsidRPr="009F5E9E">
        <w:t xml:space="preserve">gérer </w:t>
      </w:r>
      <w:r w:rsidR="007E2B3D" w:rsidRPr="009F5E9E">
        <w:t>les périodes d’utilisation et la disposition de l’information</w:t>
      </w:r>
      <w:r w:rsidRPr="009F5E9E">
        <w:t xml:space="preserve"> dans SP.  </w:t>
      </w:r>
      <w:r w:rsidR="007E2B3D" w:rsidRPr="009F5E9E">
        <w:t>C</w:t>
      </w:r>
      <w:r w:rsidR="002B7103" w:rsidRPr="009F5E9E">
        <w:t>haque</w:t>
      </w:r>
      <w:r w:rsidR="00B9236A" w:rsidRPr="009F5E9E">
        <w:t xml:space="preserve"> </w:t>
      </w:r>
      <w:r w:rsidR="00044BC3" w:rsidRPr="009F5E9E">
        <w:t xml:space="preserve">groupe d’activités (identifié par un </w:t>
      </w:r>
      <w:r w:rsidR="00ED6EC4" w:rsidRPr="009F5E9E">
        <w:t>rectangle</w:t>
      </w:r>
      <w:r w:rsidR="00044BC3" w:rsidRPr="009F5E9E">
        <w:t xml:space="preserve"> gris pâle)</w:t>
      </w:r>
      <w:r w:rsidR="007E2B3D" w:rsidRPr="009F5E9E">
        <w:t xml:space="preserve"> est détaillé dans </w:t>
      </w:r>
      <w:r w:rsidR="00044BC3" w:rsidRPr="009F5E9E">
        <w:t>un</w:t>
      </w:r>
      <w:r w:rsidR="00ED6EC4" w:rsidRPr="009F5E9E">
        <w:t xml:space="preserve"> </w:t>
      </w:r>
      <w:r w:rsidR="00044BC3" w:rsidRPr="009F5E9E">
        <w:t>onglet</w:t>
      </w:r>
      <w:r w:rsidR="00ED6EC4" w:rsidRPr="009F5E9E">
        <w:t xml:space="preserve"> / page</w:t>
      </w:r>
      <w:r w:rsidR="002B7103" w:rsidRPr="009F5E9E">
        <w:t>.</w:t>
      </w:r>
      <w:r w:rsidR="00B9236A" w:rsidRPr="00CD51C4">
        <w:t xml:space="preserve"> </w:t>
      </w:r>
    </w:p>
    <w:p w14:paraId="475931BD" w14:textId="706FBC65" w:rsidR="00037640" w:rsidRDefault="00E9320A" w:rsidP="00CF6330">
      <w:pPr>
        <w:pStyle w:val="Titre2"/>
      </w:pPr>
      <w:r>
        <w:t>Vocation SP</w:t>
      </w:r>
      <w:r w:rsidR="007B22CF">
        <w:t> :</w:t>
      </w:r>
    </w:p>
    <w:p w14:paraId="4E7829CC" w14:textId="525D98E0" w:rsidR="00345BAA" w:rsidRPr="000E7C85" w:rsidRDefault="00345BAA" w:rsidP="000E7C85">
      <w:pPr>
        <w:spacing w:line="240" w:lineRule="auto"/>
        <w:jc w:val="both"/>
        <w:rPr>
          <w:color w:val="ED7D31" w:themeColor="accent2"/>
        </w:rPr>
      </w:pPr>
      <w:r w:rsidRPr="009F5E9E">
        <w:t>La vocation des sites SharePoint peut être multiple et coexister.</w:t>
      </w:r>
      <w:r>
        <w:t xml:space="preserve"> Elle peut également évoluer. </w:t>
      </w:r>
      <w:r w:rsidR="00343807">
        <w:t>Un site SharePoint peut être comparé à un site Web</w:t>
      </w:r>
      <w:r w:rsidR="00E228D4">
        <w:t>, dans un environnement collaboratif basé sur un intranet et qui intègre des applications, des bases de données, des fonctions de sécurité, etc.</w:t>
      </w:r>
      <w:r w:rsidR="002C310E">
        <w:t xml:space="preserve"> </w:t>
      </w:r>
      <w:r w:rsidR="00216164">
        <w:t>Les trois vocations identifiées dans ce projet sont</w:t>
      </w:r>
      <w:r w:rsidR="002C310E">
        <w:t xml:space="preserve"> </w:t>
      </w:r>
      <w:r w:rsidR="00216164" w:rsidRPr="00B01419">
        <w:t>l’e</w:t>
      </w:r>
      <w:r>
        <w:t>space de collaboration</w:t>
      </w:r>
      <w:r w:rsidR="00B01419">
        <w:t>, la v</w:t>
      </w:r>
      <w:r>
        <w:t>oûte documentaire (essentiellement à des fins de conservation temporaire)</w:t>
      </w:r>
      <w:r w:rsidR="00B01419">
        <w:t xml:space="preserve"> et la c</w:t>
      </w:r>
      <w:r>
        <w:t>onservation permanente</w:t>
      </w:r>
      <w:r w:rsidR="000E7C85">
        <w:t>.</w:t>
      </w:r>
    </w:p>
    <w:p w14:paraId="57CF49A7" w14:textId="5636665B" w:rsidR="00345BAA" w:rsidRDefault="00345BAA" w:rsidP="00345BAA">
      <w:pPr>
        <w:spacing w:line="240" w:lineRule="auto"/>
        <w:jc w:val="both"/>
      </w:pPr>
      <w:r>
        <w:lastRenderedPageBreak/>
        <w:t>Dans le schéma, ces vocations sont identifiées en jaune pâle. À noter que ces vocations peuvent être ajoutées à votre tableau de vocation des systèmes (voir fiche 1 – Gouvernance).</w:t>
      </w:r>
    </w:p>
    <w:p w14:paraId="000191F2" w14:textId="5A61CA0D" w:rsidR="00345BAA" w:rsidRDefault="00345BAA" w:rsidP="00345BAA">
      <w:pPr>
        <w:spacing w:line="240" w:lineRule="auto"/>
        <w:jc w:val="both"/>
      </w:pPr>
      <w:r>
        <w:t xml:space="preserve">Selon sa valeur, </w:t>
      </w:r>
      <w:r w:rsidR="001B3E8C">
        <w:t>généralement</w:t>
      </w:r>
      <w:r>
        <w:t xml:space="preserve"> spécifiée dans le calendrier de conservation, l’inform</w:t>
      </w:r>
      <w:r w:rsidR="003E7A76">
        <w:t>a</w:t>
      </w:r>
      <w:r>
        <w:t>tion peut être détruite</w:t>
      </w:r>
      <w:r w:rsidR="003E7A76">
        <w:t xml:space="preserve">, conservée de façon temporaire ou de manière permanente dans différents espaces dédiés (SP, systèmes tiers, </w:t>
      </w:r>
      <w:proofErr w:type="spellStart"/>
      <w:r w:rsidR="003E7A76">
        <w:t>Advitam</w:t>
      </w:r>
      <w:proofErr w:type="spellEnd"/>
      <w:r w:rsidR="003E7A76">
        <w:t xml:space="preserve">, etc.). </w:t>
      </w:r>
    </w:p>
    <w:p w14:paraId="3108A60B" w14:textId="4B44C6F6" w:rsidR="003E7A76" w:rsidRDefault="003E7A76" w:rsidP="00345BAA">
      <w:pPr>
        <w:spacing w:line="240" w:lineRule="auto"/>
        <w:jc w:val="both"/>
      </w:pPr>
      <w:r>
        <w:t>Après la migration dans un système ou espace dédié à la conservation permanente, et vérification post-migration, la destruction de l’information dans SP est requise.</w:t>
      </w:r>
    </w:p>
    <w:p w14:paraId="2E791E9F" w14:textId="3D4B7D6A" w:rsidR="00037640" w:rsidRDefault="00E9320A" w:rsidP="00CF6330">
      <w:pPr>
        <w:pStyle w:val="Titre2"/>
      </w:pPr>
      <w:r>
        <w:t>Évaluer et définir les règles dans SP</w:t>
      </w:r>
      <w:r w:rsidR="00733AA8" w:rsidRPr="007B22CF">
        <w:t> </w:t>
      </w:r>
      <w:r w:rsidR="00037640" w:rsidRPr="007B22CF">
        <w:t>:</w:t>
      </w:r>
    </w:p>
    <w:p w14:paraId="6EC16173" w14:textId="75372526" w:rsidR="00FD3E1B" w:rsidRDefault="0011594A" w:rsidP="00CF6330">
      <w:pPr>
        <w:spacing w:line="240" w:lineRule="auto"/>
        <w:jc w:val="both"/>
      </w:pPr>
      <w:r>
        <w:t xml:space="preserve">Ce schéma </w:t>
      </w:r>
      <w:r w:rsidR="00B2189E" w:rsidRPr="000E7C85">
        <w:t>présente le processus d</w:t>
      </w:r>
      <w:r w:rsidR="00CA382F" w:rsidRPr="000E7C85">
        <w:t xml:space="preserve">’évaluation de la valeur de l’information </w:t>
      </w:r>
      <w:r w:rsidR="00E82B44" w:rsidRPr="000E7C85">
        <w:t>et</w:t>
      </w:r>
      <w:r w:rsidR="00B2189E" w:rsidRPr="000E7C85">
        <w:t xml:space="preserve"> de définition des règles de rétention dans SP</w:t>
      </w:r>
      <w:r w:rsidRPr="000E7C85">
        <w:t>.</w:t>
      </w:r>
      <w:r w:rsidR="00B2189E">
        <w:t xml:space="preserve"> </w:t>
      </w:r>
    </w:p>
    <w:p w14:paraId="79B369EC" w14:textId="5869F3C2" w:rsidR="00B2189E" w:rsidRDefault="00F2267D" w:rsidP="00CF6330">
      <w:pPr>
        <w:spacing w:line="240" w:lineRule="auto"/>
        <w:jc w:val="both"/>
      </w:pPr>
      <w:r>
        <w:t>L’utilisation du</w:t>
      </w:r>
      <w:r w:rsidR="000163B8">
        <w:t xml:space="preserve"> calendrier de conservation </w:t>
      </w:r>
      <w:r w:rsidR="00373047">
        <w:t>est pertinente</w:t>
      </w:r>
      <w:r>
        <w:t xml:space="preserve">, puisqu’il précise la valeur </w:t>
      </w:r>
      <w:r w:rsidR="009F778D">
        <w:t xml:space="preserve">et l’utilisation </w:t>
      </w:r>
      <w:r>
        <w:t xml:space="preserve">de l’information. Il </w:t>
      </w:r>
      <w:r w:rsidR="000163B8">
        <w:t xml:space="preserve">oriente </w:t>
      </w:r>
      <w:r>
        <w:t xml:space="preserve">ainsi </w:t>
      </w:r>
      <w:r w:rsidR="000163B8">
        <w:t xml:space="preserve">les gestionnaires de l’information dans la définition des règles de rétention. </w:t>
      </w:r>
    </w:p>
    <w:p w14:paraId="73B9339D" w14:textId="441FB621" w:rsidR="009F778D" w:rsidRDefault="009F778D" w:rsidP="00CF6330">
      <w:pPr>
        <w:spacing w:line="240" w:lineRule="auto"/>
        <w:jc w:val="both"/>
      </w:pPr>
      <w:r>
        <w:t>L</w:t>
      </w:r>
      <w:r w:rsidR="009503C7">
        <w:t xml:space="preserve">a gestion de la disposition </w:t>
      </w:r>
      <w:r w:rsidR="009503C7" w:rsidRPr="000E7C85">
        <w:t xml:space="preserve">se paramètre dans le module </w:t>
      </w:r>
      <w:proofErr w:type="spellStart"/>
      <w:r w:rsidR="009503C7" w:rsidRPr="000E7C85">
        <w:t>Purview</w:t>
      </w:r>
      <w:proofErr w:type="spellEnd"/>
      <w:r w:rsidR="009503C7">
        <w:t xml:space="preserve"> (gestion des enregistrements). L</w:t>
      </w:r>
      <w:r>
        <w:t xml:space="preserve">es options de disposition </w:t>
      </w:r>
      <w:r w:rsidR="009503C7">
        <w:t>sont :</w:t>
      </w:r>
    </w:p>
    <w:p w14:paraId="7E2023A2" w14:textId="2F072F9E" w:rsidR="009503C7" w:rsidRDefault="009503C7" w:rsidP="009503C7">
      <w:pPr>
        <w:pStyle w:val="Paragraphedeliste"/>
        <w:numPr>
          <w:ilvl w:val="0"/>
          <w:numId w:val="2"/>
        </w:numPr>
        <w:spacing w:line="240" w:lineRule="auto"/>
        <w:jc w:val="both"/>
      </w:pPr>
      <w:r>
        <w:t>Conserver</w:t>
      </w:r>
    </w:p>
    <w:p w14:paraId="535E7F7F" w14:textId="76586D4C" w:rsidR="009503C7" w:rsidRDefault="009503C7" w:rsidP="009503C7">
      <w:pPr>
        <w:pStyle w:val="Paragraphedeliste"/>
        <w:numPr>
          <w:ilvl w:val="0"/>
          <w:numId w:val="2"/>
        </w:numPr>
        <w:spacing w:line="240" w:lineRule="auto"/>
        <w:jc w:val="both"/>
      </w:pPr>
      <w:r>
        <w:t>Supprimer</w:t>
      </w:r>
    </w:p>
    <w:p w14:paraId="3965F83E" w14:textId="4A5F3107" w:rsidR="009503C7" w:rsidRDefault="009503C7" w:rsidP="009503C7">
      <w:pPr>
        <w:pStyle w:val="Paragraphedeliste"/>
        <w:numPr>
          <w:ilvl w:val="0"/>
          <w:numId w:val="2"/>
        </w:numPr>
        <w:spacing w:line="240" w:lineRule="auto"/>
        <w:jc w:val="both"/>
      </w:pPr>
      <w:r>
        <w:t>Conserver et supprimer</w:t>
      </w:r>
    </w:p>
    <w:p w14:paraId="10952235" w14:textId="42685A38" w:rsidR="00CF6330" w:rsidRDefault="00B2189E" w:rsidP="00CF6330">
      <w:pPr>
        <w:spacing w:line="240" w:lineRule="auto"/>
        <w:jc w:val="both"/>
      </w:pPr>
      <w:r>
        <w:t>La</w:t>
      </w:r>
      <w:r w:rsidR="00E82B44">
        <w:t xml:space="preserve"> rétention</w:t>
      </w:r>
      <w:r w:rsidR="001A19C7">
        <w:t xml:space="preserve"> dans SP</w:t>
      </w:r>
      <w:r w:rsidR="00E82B44">
        <w:t xml:space="preserve"> est </w:t>
      </w:r>
      <w:r>
        <w:t>abordée</w:t>
      </w:r>
      <w:r w:rsidR="00EE7388">
        <w:t xml:space="preserve"> de manière plus détaillée</w:t>
      </w:r>
      <w:r w:rsidR="00E82B44">
        <w:t xml:space="preserve"> à l’onglet / page </w:t>
      </w:r>
      <w:r>
        <w:t>« Appliquer la rétention »</w:t>
      </w:r>
      <w:r w:rsidR="00E82B44">
        <w:t>.</w:t>
      </w:r>
    </w:p>
    <w:p w14:paraId="72BEE575" w14:textId="0CF3DD63" w:rsidR="00037640" w:rsidRDefault="001A75A1" w:rsidP="00CF6330">
      <w:pPr>
        <w:pStyle w:val="Titre2"/>
      </w:pPr>
      <w:r>
        <w:t>Appliquer la rétention</w:t>
      </w:r>
      <w:r w:rsidR="00037640" w:rsidRPr="007B22CF">
        <w:t> :</w:t>
      </w:r>
    </w:p>
    <w:p w14:paraId="0B9BD1B9" w14:textId="77777777" w:rsidR="000163B8" w:rsidRDefault="000163B8" w:rsidP="000163B8">
      <w:pPr>
        <w:spacing w:line="240" w:lineRule="auto"/>
        <w:jc w:val="both"/>
      </w:pPr>
      <w:r>
        <w:t>Pour effectuer de la rétention dans SP, plusieurs actions et prises de décision sont nécessaires :</w:t>
      </w:r>
    </w:p>
    <w:p w14:paraId="73C95350" w14:textId="77777777" w:rsidR="000163B8" w:rsidRDefault="000163B8" w:rsidP="000163B8">
      <w:pPr>
        <w:pStyle w:val="Paragraphedeliste"/>
        <w:numPr>
          <w:ilvl w:val="0"/>
          <w:numId w:val="3"/>
        </w:numPr>
        <w:spacing w:line="240" w:lineRule="auto"/>
        <w:jc w:val="both"/>
      </w:pPr>
      <w:r>
        <w:t>Faire la distinction entre étiquette et stratégie de rétention</w:t>
      </w:r>
    </w:p>
    <w:p w14:paraId="0D8E0B3E" w14:textId="77777777" w:rsidR="000163B8" w:rsidRDefault="000163B8" w:rsidP="000163B8">
      <w:pPr>
        <w:pStyle w:val="Paragraphedeliste"/>
        <w:numPr>
          <w:ilvl w:val="0"/>
          <w:numId w:val="3"/>
        </w:numPr>
        <w:spacing w:line="240" w:lineRule="auto"/>
        <w:jc w:val="both"/>
      </w:pPr>
      <w:r>
        <w:t>Adapter le calendrier de conservation</w:t>
      </w:r>
    </w:p>
    <w:p w14:paraId="1D5201A6" w14:textId="77777777" w:rsidR="000163B8" w:rsidRDefault="000163B8" w:rsidP="000163B8">
      <w:pPr>
        <w:pStyle w:val="Paragraphedeliste"/>
        <w:numPr>
          <w:ilvl w:val="0"/>
          <w:numId w:val="3"/>
        </w:numPr>
        <w:spacing w:line="240" w:lineRule="auto"/>
        <w:jc w:val="both"/>
      </w:pPr>
      <w:r>
        <w:t>Déterminer des modes d’application</w:t>
      </w:r>
    </w:p>
    <w:p w14:paraId="6E15F2A7" w14:textId="77777777" w:rsidR="000163B8" w:rsidRDefault="000163B8" w:rsidP="000163B8">
      <w:pPr>
        <w:pStyle w:val="Paragraphedeliste"/>
        <w:numPr>
          <w:ilvl w:val="0"/>
          <w:numId w:val="3"/>
        </w:numPr>
        <w:spacing w:line="240" w:lineRule="auto"/>
        <w:jc w:val="both"/>
      </w:pPr>
      <w:r>
        <w:t>Concevoir des stratégies et des étiquettes de rétention</w:t>
      </w:r>
    </w:p>
    <w:p w14:paraId="5B0AD718" w14:textId="7818D62C" w:rsidR="000163B8" w:rsidRDefault="000163B8" w:rsidP="000163B8">
      <w:pPr>
        <w:spacing w:line="240" w:lineRule="auto"/>
        <w:jc w:val="both"/>
      </w:pPr>
      <w:r>
        <w:t>Cet onglet / page présente également des astuces et des exemples pour aider le gestionnaire d’information à l’application de la rétention dans SP.</w:t>
      </w:r>
    </w:p>
    <w:p w14:paraId="6AF17B5C" w14:textId="5EEED900" w:rsidR="00E902CE" w:rsidRDefault="00E902CE" w:rsidP="000163B8">
      <w:pPr>
        <w:spacing w:line="240" w:lineRule="auto"/>
        <w:jc w:val="both"/>
      </w:pPr>
    </w:p>
    <w:sectPr w:rsidR="00E902CE" w:rsidSect="009655B8">
      <w:pgSz w:w="12240" w:h="15840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78FBE" w14:textId="77777777" w:rsidR="002A34A4" w:rsidRDefault="002A34A4" w:rsidP="00340975">
      <w:pPr>
        <w:spacing w:after="0" w:line="240" w:lineRule="auto"/>
      </w:pPr>
      <w:r>
        <w:separator/>
      </w:r>
    </w:p>
  </w:endnote>
  <w:endnote w:type="continuationSeparator" w:id="0">
    <w:p w14:paraId="07E4E610" w14:textId="77777777" w:rsidR="002A34A4" w:rsidRDefault="002A34A4" w:rsidP="00340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AF69C" w14:textId="77777777" w:rsidR="002A34A4" w:rsidRDefault="002A34A4" w:rsidP="00340975">
      <w:pPr>
        <w:spacing w:after="0" w:line="240" w:lineRule="auto"/>
      </w:pPr>
      <w:r>
        <w:separator/>
      </w:r>
    </w:p>
  </w:footnote>
  <w:footnote w:type="continuationSeparator" w:id="0">
    <w:p w14:paraId="495F7EA9" w14:textId="77777777" w:rsidR="002A34A4" w:rsidRDefault="002A34A4" w:rsidP="00340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C1B6B"/>
    <w:multiLevelType w:val="hybridMultilevel"/>
    <w:tmpl w:val="244242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015BA"/>
    <w:multiLevelType w:val="hybridMultilevel"/>
    <w:tmpl w:val="07BABCE6"/>
    <w:lvl w:ilvl="0" w:tplc="54FA738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8694F"/>
    <w:multiLevelType w:val="hybridMultilevel"/>
    <w:tmpl w:val="AB9A9F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252031">
    <w:abstractNumId w:val="2"/>
  </w:num>
  <w:num w:numId="2" w16cid:durableId="256787741">
    <w:abstractNumId w:val="1"/>
  </w:num>
  <w:num w:numId="3" w16cid:durableId="665596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1F"/>
    <w:rsid w:val="00010C48"/>
    <w:rsid w:val="000163B8"/>
    <w:rsid w:val="00027C6C"/>
    <w:rsid w:val="00033737"/>
    <w:rsid w:val="00037640"/>
    <w:rsid w:val="00044A2E"/>
    <w:rsid w:val="00044BC3"/>
    <w:rsid w:val="00070AC4"/>
    <w:rsid w:val="000A0C06"/>
    <w:rsid w:val="000D2C58"/>
    <w:rsid w:val="000E16F7"/>
    <w:rsid w:val="000E7C85"/>
    <w:rsid w:val="0011594A"/>
    <w:rsid w:val="00143210"/>
    <w:rsid w:val="00145037"/>
    <w:rsid w:val="00156819"/>
    <w:rsid w:val="001569E1"/>
    <w:rsid w:val="001A19C7"/>
    <w:rsid w:val="001A75A1"/>
    <w:rsid w:val="001A76FC"/>
    <w:rsid w:val="001B3E8C"/>
    <w:rsid w:val="001B4137"/>
    <w:rsid w:val="001F4AFF"/>
    <w:rsid w:val="002057FD"/>
    <w:rsid w:val="00216164"/>
    <w:rsid w:val="00250A2B"/>
    <w:rsid w:val="002A34A4"/>
    <w:rsid w:val="002A7666"/>
    <w:rsid w:val="002B6315"/>
    <w:rsid w:val="002B7103"/>
    <w:rsid w:val="002C1ED1"/>
    <w:rsid w:val="002C2E6A"/>
    <w:rsid w:val="002C310E"/>
    <w:rsid w:val="002F112A"/>
    <w:rsid w:val="00323BD6"/>
    <w:rsid w:val="00336D73"/>
    <w:rsid w:val="003379BB"/>
    <w:rsid w:val="00340975"/>
    <w:rsid w:val="00343807"/>
    <w:rsid w:val="00345BAA"/>
    <w:rsid w:val="00354EE8"/>
    <w:rsid w:val="003574B1"/>
    <w:rsid w:val="00373047"/>
    <w:rsid w:val="00395114"/>
    <w:rsid w:val="003B02FF"/>
    <w:rsid w:val="003D7728"/>
    <w:rsid w:val="003E7A76"/>
    <w:rsid w:val="00403058"/>
    <w:rsid w:val="0044273F"/>
    <w:rsid w:val="00454158"/>
    <w:rsid w:val="004852A1"/>
    <w:rsid w:val="004A2F17"/>
    <w:rsid w:val="0050232C"/>
    <w:rsid w:val="005135ED"/>
    <w:rsid w:val="005572EB"/>
    <w:rsid w:val="00561A19"/>
    <w:rsid w:val="00573816"/>
    <w:rsid w:val="005847C9"/>
    <w:rsid w:val="0059341F"/>
    <w:rsid w:val="005E1F4F"/>
    <w:rsid w:val="005F413B"/>
    <w:rsid w:val="0067500B"/>
    <w:rsid w:val="006C3AC0"/>
    <w:rsid w:val="006C587B"/>
    <w:rsid w:val="0070020B"/>
    <w:rsid w:val="00720AAA"/>
    <w:rsid w:val="00733AA8"/>
    <w:rsid w:val="0075297C"/>
    <w:rsid w:val="00762333"/>
    <w:rsid w:val="00771956"/>
    <w:rsid w:val="007766B4"/>
    <w:rsid w:val="00777A4D"/>
    <w:rsid w:val="007A7435"/>
    <w:rsid w:val="007B0091"/>
    <w:rsid w:val="007B22CF"/>
    <w:rsid w:val="007C61E6"/>
    <w:rsid w:val="007E2B3D"/>
    <w:rsid w:val="00847638"/>
    <w:rsid w:val="008779B4"/>
    <w:rsid w:val="008C53CA"/>
    <w:rsid w:val="008E3450"/>
    <w:rsid w:val="00902F38"/>
    <w:rsid w:val="00904850"/>
    <w:rsid w:val="009236E6"/>
    <w:rsid w:val="0094693A"/>
    <w:rsid w:val="009503C7"/>
    <w:rsid w:val="009655B8"/>
    <w:rsid w:val="009C72CA"/>
    <w:rsid w:val="009F5E9E"/>
    <w:rsid w:val="009F778D"/>
    <w:rsid w:val="00A3368A"/>
    <w:rsid w:val="00A43DD6"/>
    <w:rsid w:val="00A547DA"/>
    <w:rsid w:val="00A606E9"/>
    <w:rsid w:val="00A671D6"/>
    <w:rsid w:val="00AE058F"/>
    <w:rsid w:val="00B01419"/>
    <w:rsid w:val="00B2189E"/>
    <w:rsid w:val="00B32B0A"/>
    <w:rsid w:val="00B56FFE"/>
    <w:rsid w:val="00B71679"/>
    <w:rsid w:val="00B82D79"/>
    <w:rsid w:val="00B9236A"/>
    <w:rsid w:val="00BD5958"/>
    <w:rsid w:val="00C06A57"/>
    <w:rsid w:val="00C32F6E"/>
    <w:rsid w:val="00C36799"/>
    <w:rsid w:val="00C4686B"/>
    <w:rsid w:val="00C575D4"/>
    <w:rsid w:val="00CA382F"/>
    <w:rsid w:val="00CD51C4"/>
    <w:rsid w:val="00CF6330"/>
    <w:rsid w:val="00CF7550"/>
    <w:rsid w:val="00D10DA5"/>
    <w:rsid w:val="00D24F19"/>
    <w:rsid w:val="00D808C6"/>
    <w:rsid w:val="00D84585"/>
    <w:rsid w:val="00DA373E"/>
    <w:rsid w:val="00DA41AF"/>
    <w:rsid w:val="00DC59A2"/>
    <w:rsid w:val="00DD05E5"/>
    <w:rsid w:val="00DD4F7F"/>
    <w:rsid w:val="00DF1B2E"/>
    <w:rsid w:val="00E0248A"/>
    <w:rsid w:val="00E20974"/>
    <w:rsid w:val="00E228D4"/>
    <w:rsid w:val="00E35881"/>
    <w:rsid w:val="00E82B44"/>
    <w:rsid w:val="00E902CE"/>
    <w:rsid w:val="00E9320A"/>
    <w:rsid w:val="00E9656B"/>
    <w:rsid w:val="00EA5E62"/>
    <w:rsid w:val="00ED6EC4"/>
    <w:rsid w:val="00EE7388"/>
    <w:rsid w:val="00EF78A5"/>
    <w:rsid w:val="00F124A8"/>
    <w:rsid w:val="00F2267D"/>
    <w:rsid w:val="00F57E88"/>
    <w:rsid w:val="00F60370"/>
    <w:rsid w:val="00F775B0"/>
    <w:rsid w:val="00F97E9B"/>
    <w:rsid w:val="00FC28C9"/>
    <w:rsid w:val="00FD3E1B"/>
    <w:rsid w:val="00FD68E9"/>
    <w:rsid w:val="00FD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3A8DE"/>
  <w15:chartTrackingRefBased/>
  <w15:docId w15:val="{337A5B29-2365-4450-8897-11C81554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574B1"/>
    <w:pPr>
      <w:keepNext/>
      <w:keepLines/>
      <w:shd w:val="clear" w:color="auto" w:fill="4472C4" w:themeFill="accent1"/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smallCaps/>
      <w:color w:val="FFFFFF" w:themeColor="background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F6330"/>
    <w:pPr>
      <w:keepNext/>
      <w:keepLines/>
      <w:shd w:val="clear" w:color="auto" w:fill="D9E2F3" w:themeFill="accent1" w:themeFillTint="33"/>
      <w:spacing w:before="120" w:after="240" w:line="240" w:lineRule="auto"/>
      <w:outlineLvl w:val="1"/>
    </w:pPr>
    <w:rPr>
      <w:rFonts w:asciiTheme="majorHAnsi" w:eastAsiaTheme="majorEastAsia" w:hAnsiTheme="majorHAnsi" w:cstheme="majorBidi"/>
      <w:smallCaps/>
      <w:color w:val="000000" w:themeColor="tex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22CF"/>
    <w:pPr>
      <w:ind w:left="720"/>
      <w:contextualSpacing/>
    </w:pPr>
  </w:style>
  <w:style w:type="paragraph" w:styleId="Rvision">
    <w:name w:val="Revision"/>
    <w:hidden/>
    <w:uiPriority w:val="99"/>
    <w:semiHidden/>
    <w:rsid w:val="00250A2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3574B1"/>
    <w:rPr>
      <w:rFonts w:asciiTheme="majorHAnsi" w:eastAsiaTheme="majorEastAsia" w:hAnsiTheme="majorHAnsi" w:cstheme="majorBidi"/>
      <w:b/>
      <w:smallCaps/>
      <w:color w:val="FFFFFF" w:themeColor="background1"/>
      <w:sz w:val="32"/>
      <w:szCs w:val="32"/>
      <w:shd w:val="clear" w:color="auto" w:fill="4472C4" w:themeFill="accent1"/>
    </w:rPr>
  </w:style>
  <w:style w:type="paragraph" w:styleId="En-tte">
    <w:name w:val="header"/>
    <w:basedOn w:val="Normal"/>
    <w:link w:val="En-tteCar"/>
    <w:uiPriority w:val="99"/>
    <w:unhideWhenUsed/>
    <w:rsid w:val="003409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0975"/>
  </w:style>
  <w:style w:type="paragraph" w:styleId="Pieddepage">
    <w:name w:val="footer"/>
    <w:basedOn w:val="Normal"/>
    <w:link w:val="PieddepageCar"/>
    <w:uiPriority w:val="99"/>
    <w:unhideWhenUsed/>
    <w:rsid w:val="003409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0975"/>
  </w:style>
  <w:style w:type="character" w:customStyle="1" w:styleId="Titre2Car">
    <w:name w:val="Titre 2 Car"/>
    <w:basedOn w:val="Policepardfaut"/>
    <w:link w:val="Titre2"/>
    <w:uiPriority w:val="9"/>
    <w:rsid w:val="00CF6330"/>
    <w:rPr>
      <w:rFonts w:asciiTheme="majorHAnsi" w:eastAsiaTheme="majorEastAsia" w:hAnsiTheme="majorHAnsi" w:cstheme="majorBidi"/>
      <w:smallCaps/>
      <w:color w:val="000000" w:themeColor="text1"/>
      <w:sz w:val="26"/>
      <w:szCs w:val="26"/>
      <w:shd w:val="clear" w:color="auto" w:fill="D9E2F3" w:themeFill="accent1" w:themeFillTint="33"/>
    </w:rPr>
  </w:style>
  <w:style w:type="table" w:styleId="Grilledutableau">
    <w:name w:val="Table Grid"/>
    <w:basedOn w:val="TableauNormal"/>
    <w:uiPriority w:val="39"/>
    <w:rsid w:val="007E2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C65B1DB7BE543B9C9DD9F87D28599" ma:contentTypeVersion="11" ma:contentTypeDescription="Crée un document." ma:contentTypeScope="" ma:versionID="0a4db60ead1c5a127b178147d8cfa525">
  <xsd:schema xmlns:xsd="http://www.w3.org/2001/XMLSchema" xmlns:xs="http://www.w3.org/2001/XMLSchema" xmlns:p="http://schemas.microsoft.com/office/2006/metadata/properties" xmlns:ns2="714ce19d-5dc2-41f2-a506-a95004cf9e9d" xmlns:ns3="6891c381-cd23-4dff-bb90-385667f70026" targetNamespace="http://schemas.microsoft.com/office/2006/metadata/properties" ma:root="true" ma:fieldsID="080c2a0e9a585c43ede4a41fbe7b19b8" ns2:_="" ns3:_="">
    <xsd:import namespace="714ce19d-5dc2-41f2-a506-a95004cf9e9d"/>
    <xsd:import namespace="6891c381-cd23-4dff-bb90-385667f700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ce19d-5dc2-41f2-a506-a95004cf9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c381-cd23-4dff-bb90-385667f700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9DE8BD-FE45-4A00-8A8E-D23B01E14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ce19d-5dc2-41f2-a506-a95004cf9e9d"/>
    <ds:schemaRef ds:uri="6891c381-cd23-4dff-bb90-385667f700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A45EFC-A6C7-48E0-971B-2081E0D1B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4B1C4-0950-4791-81F6-EE0512D1FD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654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Présentation de la fiche 3 Gestion des périodes d'utilisation et de la disposition de l'information</vt:lpstr>
    </vt:vector>
  </TitlesOfParts>
  <Company>BAnQ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Présentation de la fiche 3 Gestion des périodes d'utilisation et de la disposition de l'information</dc:title>
  <dc:subject/>
  <dc:creator>Allard, Marie-Josée</dc:creator>
  <cp:keywords/>
  <dc:description>fiche élaborée dans par un comité issu du Groupe de travail sur la GI dans M365</dc:description>
  <cp:lastModifiedBy>Allard, Marie-Josée</cp:lastModifiedBy>
  <cp:revision>17</cp:revision>
  <dcterms:created xsi:type="dcterms:W3CDTF">2024-03-18T20:50:00Z</dcterms:created>
  <dcterms:modified xsi:type="dcterms:W3CDTF">2024-12-11T18:25:00Z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0x010100E87C65B1DB7BE543B9C9DD9F87D28599</vt:lpwstr>
  </property>
</Properties>
</file>